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b/>
          <w:sz w:val="44"/>
          <w:szCs w:val="44"/>
        </w:rPr>
      </w:pPr>
      <w:r>
        <w:rPr>
          <w:rFonts w:hint="eastAsia"/>
          <w:b/>
          <w:sz w:val="44"/>
          <w:szCs w:val="44"/>
        </w:rPr>
        <w:t>中国科学院地质</w:t>
      </w:r>
      <w:r>
        <w:rPr>
          <w:b/>
          <w:sz w:val="44"/>
          <w:szCs w:val="44"/>
        </w:rPr>
        <w:t>与地球物理研究所</w:t>
      </w:r>
    </w:p>
    <w:p>
      <w:pPr>
        <w:spacing w:after="240"/>
        <w:jc w:val="center"/>
        <w:rPr>
          <w:b/>
          <w:sz w:val="44"/>
          <w:szCs w:val="44"/>
        </w:rPr>
      </w:pPr>
      <w:r>
        <w:rPr>
          <w:rFonts w:hint="eastAsia"/>
          <w:b/>
          <w:sz w:val="44"/>
          <w:szCs w:val="44"/>
        </w:rPr>
        <w:t>研究生培养方案</w:t>
      </w:r>
    </w:p>
    <w:p>
      <w:pPr>
        <w:spacing w:line="360" w:lineRule="auto"/>
        <w:ind w:firstLine="560" w:firstLineChars="200"/>
        <w:rPr>
          <w:rFonts w:ascii="仿宋_GB2312" w:eastAsia="仿宋_GB2312" w:hAnsiTheme="minorEastAsia"/>
          <w:sz w:val="28"/>
          <w:szCs w:val="28"/>
        </w:rPr>
      </w:pPr>
      <w:r>
        <w:rPr>
          <w:rFonts w:hint="eastAsia" w:ascii="仿宋_GB2312" w:eastAsia="仿宋_GB2312" w:hAnsiTheme="minorEastAsia"/>
          <w:sz w:val="28"/>
          <w:szCs w:val="28"/>
        </w:rPr>
        <w:t>为适应创新型国家建设和社会发展对高层次人才的新要求，保证中国科学院地质与地球物理研究所研究生培养质量，根据《中华人民共和国学位条例》、《中华人民共和国学位条例暂行实施办法》和中国科学院大学的有关规定，结合研究所情况，制定本培养方案。</w:t>
      </w:r>
    </w:p>
    <w:p>
      <w:pPr>
        <w:spacing w:line="360" w:lineRule="auto"/>
        <w:ind w:left="480" w:firstLine="420"/>
        <w:rPr>
          <w:rFonts w:asciiTheme="minorEastAsia" w:hAnsiTheme="minorEastAsia"/>
          <w:szCs w:val="24"/>
        </w:rPr>
      </w:pPr>
    </w:p>
    <w:p>
      <w:pPr>
        <w:autoSpaceDE w:val="0"/>
        <w:autoSpaceDN w:val="0"/>
        <w:adjustRightInd w:val="0"/>
        <w:spacing w:line="360" w:lineRule="auto"/>
        <w:ind w:firstLine="643" w:firstLineChars="200"/>
        <w:jc w:val="center"/>
        <w:rPr>
          <w:rFonts w:ascii="黑体" w:hAnsi="黑体" w:eastAsia="黑体" w:cs="宋体"/>
          <w:b/>
          <w:bCs/>
          <w:color w:val="000000"/>
          <w:kern w:val="0"/>
          <w:sz w:val="32"/>
          <w:szCs w:val="32"/>
        </w:rPr>
      </w:pPr>
      <w:r>
        <w:rPr>
          <w:rFonts w:hint="eastAsia" w:ascii="黑体" w:hAnsi="黑体" w:eastAsia="黑体" w:cs="宋体"/>
          <w:b/>
          <w:bCs/>
          <w:color w:val="000000"/>
          <w:kern w:val="0"/>
          <w:sz w:val="32"/>
          <w:szCs w:val="32"/>
        </w:rPr>
        <w:t>博士研究生培养方案</w:t>
      </w:r>
    </w:p>
    <w:p>
      <w:pPr>
        <w:autoSpaceDE w:val="0"/>
        <w:autoSpaceDN w:val="0"/>
        <w:adjustRightInd w:val="0"/>
        <w:spacing w:line="360" w:lineRule="auto"/>
        <w:ind w:firstLine="560" w:firstLineChars="200"/>
        <w:jc w:val="left"/>
        <w:rPr>
          <w:rFonts w:ascii="仿宋_GB2312" w:eastAsia="仿宋_GB2312" w:cs="宋体"/>
          <w:color w:val="000000"/>
          <w:kern w:val="0"/>
          <w:sz w:val="28"/>
          <w:szCs w:val="28"/>
        </w:rPr>
      </w:pPr>
      <w:r>
        <w:rPr>
          <w:rFonts w:hint="eastAsia" w:ascii="仿宋_GB2312" w:eastAsia="仿宋_GB2312" w:cs="宋体"/>
          <w:color w:val="000000"/>
          <w:kern w:val="0"/>
          <w:sz w:val="28"/>
          <w:szCs w:val="28"/>
        </w:rPr>
        <w:t>一、培养目标</w:t>
      </w:r>
      <w:bookmarkStart w:id="0" w:name="_GoBack"/>
      <w:bookmarkEnd w:id="0"/>
    </w:p>
    <w:p>
      <w:pPr>
        <w:autoSpaceDE w:val="0"/>
        <w:autoSpaceDN w:val="0"/>
        <w:adjustRightInd w:val="0"/>
        <w:spacing w:line="360" w:lineRule="auto"/>
        <w:ind w:firstLine="560" w:firstLineChars="200"/>
        <w:jc w:val="left"/>
        <w:rPr>
          <w:rFonts w:ascii="仿宋_GB2312" w:eastAsia="仿宋_GB2312" w:cs="宋体"/>
          <w:color w:val="000000"/>
          <w:kern w:val="0"/>
          <w:sz w:val="28"/>
          <w:szCs w:val="28"/>
        </w:rPr>
      </w:pPr>
      <w:r>
        <w:rPr>
          <w:rFonts w:hint="eastAsia" w:ascii="仿宋_GB2312" w:eastAsia="仿宋_GB2312" w:cs="宋体"/>
          <w:color w:val="000000"/>
          <w:kern w:val="0"/>
          <w:sz w:val="28"/>
          <w:szCs w:val="28"/>
        </w:rPr>
        <w:t>培养博士研究生成为德智体美劳全面发展的社会主义建设者和接班人。要求如下：</w:t>
      </w:r>
    </w:p>
    <w:p>
      <w:pPr>
        <w:autoSpaceDE w:val="0"/>
        <w:autoSpaceDN w:val="0"/>
        <w:adjustRightInd w:val="0"/>
        <w:spacing w:line="360" w:lineRule="auto"/>
        <w:ind w:firstLine="560" w:firstLineChars="200"/>
        <w:jc w:val="left"/>
        <w:rPr>
          <w:rFonts w:ascii="仿宋_GB2312" w:eastAsia="仿宋_GB2312" w:cs="宋体"/>
          <w:color w:val="000000"/>
          <w:kern w:val="0"/>
          <w:sz w:val="28"/>
          <w:szCs w:val="28"/>
        </w:rPr>
      </w:pPr>
      <w:r>
        <w:rPr>
          <w:rFonts w:hint="eastAsia" w:ascii="仿宋_GB2312" w:eastAsia="仿宋_GB2312" w:cs="宋体"/>
          <w:color w:val="000000"/>
          <w:kern w:val="0"/>
          <w:sz w:val="28"/>
          <w:szCs w:val="28"/>
        </w:rPr>
        <w:t>1．掌握马克思主义基本理论、树立科学的世界观，坚持党的基本路线，热爱祖国；遵纪守法，品行端正；诚实守信，学风严谨，团结协作，具有良好的科研道德和敬业精神。</w:t>
      </w:r>
    </w:p>
    <w:p>
      <w:pPr>
        <w:autoSpaceDE w:val="0"/>
        <w:autoSpaceDN w:val="0"/>
        <w:adjustRightInd w:val="0"/>
        <w:spacing w:line="360" w:lineRule="auto"/>
        <w:ind w:firstLine="560" w:firstLineChars="200"/>
        <w:jc w:val="left"/>
        <w:rPr>
          <w:rFonts w:ascii="仿宋_GB2312" w:eastAsia="仿宋_GB2312" w:cs="宋体"/>
          <w:kern w:val="0"/>
          <w:sz w:val="28"/>
          <w:szCs w:val="28"/>
        </w:rPr>
      </w:pPr>
      <w:r>
        <w:rPr>
          <w:rFonts w:hint="eastAsia" w:ascii="仿宋_GB2312" w:eastAsia="仿宋_GB2312" w:cs="宋体"/>
          <w:color w:val="000000"/>
          <w:kern w:val="0"/>
          <w:sz w:val="28"/>
          <w:szCs w:val="28"/>
        </w:rPr>
        <w:t>2．掌握所学专业领域内坚实宽广的基础理论和系统深入的专门知识；具备独立文献调研、资料查询、野外工作与实验技术能力，</w:t>
      </w:r>
      <w:r>
        <w:rPr>
          <w:rFonts w:hint="eastAsia" w:ascii="仿宋_GB2312" w:eastAsia="仿宋_GB2312" w:cs="宋体"/>
          <w:kern w:val="0"/>
          <w:sz w:val="28"/>
          <w:szCs w:val="28"/>
        </w:rPr>
        <w:t>具有撰写论文和学术交流等能力，能独立从事科学研究工作，在科学或专门技术上做出创造性的成果。</w:t>
      </w:r>
    </w:p>
    <w:p>
      <w:pPr>
        <w:autoSpaceDE w:val="0"/>
        <w:autoSpaceDN w:val="0"/>
        <w:adjustRightInd w:val="0"/>
        <w:spacing w:line="360" w:lineRule="auto"/>
        <w:ind w:firstLine="560" w:firstLineChars="200"/>
        <w:jc w:val="left"/>
        <w:rPr>
          <w:rFonts w:ascii="仿宋_GB2312" w:eastAsia="仿宋_GB2312" w:hAnsiTheme="minorEastAsia"/>
          <w:sz w:val="28"/>
          <w:szCs w:val="28"/>
        </w:rPr>
      </w:pPr>
      <w:r>
        <w:rPr>
          <w:rFonts w:hint="eastAsia" w:ascii="仿宋_GB2312" w:eastAsia="仿宋_GB2312" w:hAnsiTheme="minorEastAsia"/>
          <w:sz w:val="28"/>
          <w:szCs w:val="28"/>
        </w:rPr>
        <w:t>3．博士研究生能够熟练掌握至少一门外国语（一般为英语），能熟练阅读本专业外文资料，并具有较强的科研论文写作能力和国际学术交流能力。</w:t>
      </w:r>
    </w:p>
    <w:p>
      <w:pPr>
        <w:spacing w:line="360" w:lineRule="auto"/>
        <w:ind w:firstLine="560" w:firstLineChars="200"/>
        <w:rPr>
          <w:rFonts w:ascii="仿宋_GB2312" w:eastAsia="仿宋_GB2312" w:hAnsiTheme="minorEastAsia"/>
          <w:sz w:val="28"/>
          <w:szCs w:val="28"/>
        </w:rPr>
      </w:pPr>
      <w:r>
        <w:rPr>
          <w:rFonts w:hint="eastAsia" w:ascii="仿宋_GB2312" w:eastAsia="仿宋_GB2312" w:hAnsiTheme="minorEastAsia"/>
          <w:sz w:val="28"/>
          <w:szCs w:val="28"/>
        </w:rPr>
        <w:t>4．具有健康的体质与良好的心理素质。</w:t>
      </w:r>
    </w:p>
    <w:p>
      <w:pPr>
        <w:pStyle w:val="2"/>
        <w:spacing w:after="0" w:line="360" w:lineRule="auto"/>
        <w:ind w:left="480"/>
        <w:rPr>
          <w:rFonts w:ascii="仿宋_GB2312" w:eastAsia="仿宋_GB2312"/>
          <w:sz w:val="28"/>
          <w:szCs w:val="28"/>
        </w:rPr>
      </w:pPr>
      <w:r>
        <w:rPr>
          <w:rFonts w:hint="eastAsia" w:ascii="仿宋_GB2312" w:eastAsia="仿宋_GB2312"/>
          <w:sz w:val="28"/>
          <w:szCs w:val="28"/>
        </w:rPr>
        <w:t>二、学科专业及研究方向</w:t>
      </w:r>
    </w:p>
    <w:p>
      <w:pPr>
        <w:adjustRightInd w:val="0"/>
        <w:snapToGrid w:val="0"/>
        <w:spacing w:line="360" w:lineRule="auto"/>
        <w:ind w:firstLine="560" w:firstLineChars="200"/>
        <w:rPr>
          <w:rFonts w:ascii="仿宋_GB2312" w:eastAsia="仿宋_GB2312" w:hAnsiTheme="minorEastAsia"/>
          <w:bCs/>
          <w:sz w:val="28"/>
          <w:szCs w:val="28"/>
        </w:rPr>
      </w:pPr>
      <w:r>
        <w:rPr>
          <w:rFonts w:hint="eastAsia" w:ascii="仿宋_GB2312" w:eastAsia="仿宋_GB2312" w:hAnsiTheme="minorEastAsia"/>
          <w:bCs/>
          <w:sz w:val="28"/>
          <w:szCs w:val="28"/>
        </w:rPr>
        <w:t>我所具有地球物理学、地质学、地质资源与地质工程和行星科学四个一级学科和海洋地质二级学科的博士学位培养点。具体学科专业及研究方向见第一部分硕士生培养方案的相关内容。</w:t>
      </w:r>
    </w:p>
    <w:p>
      <w:pPr>
        <w:pStyle w:val="2"/>
        <w:spacing w:after="0" w:line="360" w:lineRule="auto"/>
        <w:ind w:left="480"/>
        <w:rPr>
          <w:rFonts w:ascii="仿宋_GB2312" w:eastAsia="仿宋_GB2312"/>
          <w:sz w:val="28"/>
          <w:szCs w:val="28"/>
        </w:rPr>
      </w:pPr>
      <w:r>
        <w:rPr>
          <w:rFonts w:hint="eastAsia" w:ascii="仿宋_GB2312" w:eastAsia="仿宋_GB2312"/>
          <w:sz w:val="28"/>
          <w:szCs w:val="28"/>
        </w:rPr>
        <w:t>三、培养方式及学习年限</w:t>
      </w:r>
    </w:p>
    <w:p>
      <w:pPr>
        <w:pStyle w:val="13"/>
        <w:spacing w:line="360" w:lineRule="auto"/>
        <w:ind w:firstLine="560" w:firstLineChars="200"/>
        <w:rPr>
          <w:rFonts w:ascii="仿宋_GB2312" w:eastAsia="仿宋_GB2312" w:hAnsiTheme="minorEastAsia"/>
          <w:sz w:val="28"/>
          <w:szCs w:val="28"/>
        </w:rPr>
      </w:pPr>
      <w:r>
        <w:rPr>
          <w:rFonts w:hint="eastAsia" w:ascii="仿宋_GB2312" w:eastAsia="仿宋_GB2312" w:hAnsiTheme="minorEastAsia"/>
          <w:sz w:val="28"/>
          <w:szCs w:val="28"/>
        </w:rPr>
        <w:t>博士研究生按照招考方式，分为普通招考、硕博连读和直接攻博等三种招收方式。</w:t>
      </w:r>
    </w:p>
    <w:p>
      <w:pPr>
        <w:autoSpaceDE w:val="0"/>
        <w:autoSpaceDN w:val="0"/>
        <w:adjustRightInd w:val="0"/>
        <w:spacing w:line="360" w:lineRule="auto"/>
        <w:ind w:firstLine="560" w:firstLineChars="200"/>
        <w:jc w:val="left"/>
        <w:rPr>
          <w:rFonts w:ascii="仿宋_GB2312" w:eastAsia="仿宋_GB2312" w:cs="宋体" w:hAnsiTheme="minorEastAsia"/>
          <w:kern w:val="0"/>
          <w:sz w:val="28"/>
          <w:szCs w:val="28"/>
        </w:rPr>
      </w:pPr>
      <w:r>
        <w:rPr>
          <w:rFonts w:hint="eastAsia" w:ascii="仿宋_GB2312" w:eastAsia="仿宋_GB2312" w:cs="宋体" w:hAnsiTheme="minorEastAsia"/>
          <w:color w:val="000000"/>
          <w:kern w:val="0"/>
          <w:sz w:val="28"/>
          <w:szCs w:val="28"/>
        </w:rPr>
        <w:t>博士研究生培养过程实行学分制管理。研究生获得学位所需学分，由课程学习学分和必</w:t>
      </w:r>
      <w:r>
        <w:rPr>
          <w:rFonts w:hint="eastAsia" w:ascii="仿宋_GB2312" w:eastAsia="仿宋_GB2312" w:cs="宋体" w:hAnsiTheme="minorEastAsia"/>
          <w:kern w:val="0"/>
          <w:sz w:val="28"/>
          <w:szCs w:val="28"/>
        </w:rPr>
        <w:t>修环节学分两部分组成，二者不可相互替代。</w:t>
      </w:r>
    </w:p>
    <w:p>
      <w:pPr>
        <w:autoSpaceDE w:val="0"/>
        <w:autoSpaceDN w:val="0"/>
        <w:adjustRightInd w:val="0"/>
        <w:spacing w:line="360" w:lineRule="auto"/>
        <w:ind w:firstLine="560" w:firstLineChars="200"/>
        <w:jc w:val="left"/>
        <w:rPr>
          <w:rFonts w:ascii="仿宋_GB2312" w:eastAsia="仿宋_GB2312" w:hAnsiTheme="minorEastAsia"/>
          <w:sz w:val="28"/>
          <w:szCs w:val="28"/>
        </w:rPr>
      </w:pPr>
      <w:r>
        <w:rPr>
          <w:rFonts w:hint="eastAsia" w:ascii="仿宋_GB2312" w:eastAsia="仿宋_GB2312" w:hAnsiTheme="minorEastAsia"/>
          <w:sz w:val="28"/>
          <w:szCs w:val="28"/>
        </w:rPr>
        <w:t>博士研究生的培养工作实行导师或导师小组负责制。对从事交叉学科研究的博士生，应成立有相关学科导师参加的指导小组，且博士学位论文开题和中期考核小组、以及答辩委员会组成，应聘请相关学科的联合指导教师，同时要求成员相对稳定。导师或导师小组应全面落实导师责任制，除负责指导研究生科研工作，还应负责研究生思想政治工作，并在严谨治学、科研道德和团结协作等方面对研究生严格要求，配合、协助研究生教育管理部门做好研究生的各项管理工作。</w:t>
      </w:r>
    </w:p>
    <w:p>
      <w:pPr>
        <w:spacing w:line="360" w:lineRule="auto"/>
        <w:ind w:firstLine="560" w:firstLineChars="200"/>
        <w:rPr>
          <w:rFonts w:ascii="仿宋_GB2312" w:eastAsia="仿宋_GB2312" w:hAnsiTheme="minorEastAsia"/>
          <w:sz w:val="28"/>
          <w:szCs w:val="28"/>
        </w:rPr>
      </w:pPr>
      <w:r>
        <w:rPr>
          <w:rFonts w:hint="eastAsia" w:ascii="仿宋_GB2312" w:eastAsia="仿宋_GB2312" w:hAnsiTheme="minorEastAsia"/>
          <w:sz w:val="28"/>
          <w:szCs w:val="28"/>
        </w:rPr>
        <w:t>博士研究生的学习实行弹性学制。博士生基本学制一般为3年，最长修读年限（含休学）不得超过6年；通过硕博连读方式招收的博士生，包括硕士阶段在内最长修读年限（含休学）不得超过8年；通过直接攻博方式招收的博士生，基本学制一般为5年，最长修读年限（含休学）不得超过8年。</w:t>
      </w:r>
    </w:p>
    <w:p>
      <w:pPr>
        <w:pStyle w:val="2"/>
        <w:spacing w:after="0" w:line="360" w:lineRule="auto"/>
        <w:ind w:left="480"/>
        <w:rPr>
          <w:rFonts w:ascii="仿宋_GB2312" w:eastAsia="仿宋_GB2312"/>
          <w:sz w:val="28"/>
          <w:szCs w:val="28"/>
        </w:rPr>
      </w:pPr>
      <w:r>
        <w:rPr>
          <w:rFonts w:hint="eastAsia" w:ascii="仿宋_GB2312" w:eastAsia="仿宋_GB2312"/>
          <w:sz w:val="28"/>
          <w:szCs w:val="28"/>
        </w:rPr>
        <w:t>四、课程体系与学分要求</w:t>
      </w:r>
    </w:p>
    <w:p>
      <w:pPr>
        <w:pStyle w:val="13"/>
        <w:spacing w:line="360" w:lineRule="auto"/>
        <w:ind w:firstLine="560" w:firstLineChars="200"/>
        <w:rPr>
          <w:rFonts w:ascii="仿宋_GB2312" w:eastAsia="仿宋_GB2312" w:hAnsiTheme="minorEastAsia"/>
          <w:sz w:val="28"/>
          <w:szCs w:val="28"/>
        </w:rPr>
      </w:pPr>
      <w:r>
        <w:rPr>
          <w:rFonts w:hint="eastAsia" w:ascii="仿宋_GB2312" w:eastAsia="仿宋_GB2312" w:hAnsiTheme="minorEastAsia"/>
          <w:sz w:val="28"/>
          <w:szCs w:val="28"/>
        </w:rPr>
        <w:t>硕博连读研究生（硕博生）、直接攻博研究生（直博生）课程体系包括学位课和非学位课，学位课是为达到培养目标要求，保证研究生培养质量而必须学习的课程，分为公共学位课和专业学位课两类。其中，公共学位课包括政治理论课程、学术道德与学术写作规范课程和外国语课程；专业学位课包括核心课、普及课、研讨课。非学位课是为拓宽研究生知识面、完善知识结构或加深某方面知识而开设的课程，包括公共选修课和专业选修课（从核心课、普及课、研讨课、科学前沿讲座中选修）。</w:t>
      </w:r>
    </w:p>
    <w:p>
      <w:pPr>
        <w:pStyle w:val="13"/>
        <w:spacing w:line="360" w:lineRule="auto"/>
        <w:ind w:firstLine="560" w:firstLineChars="200"/>
        <w:rPr>
          <w:rFonts w:ascii="仿宋_GB2312" w:eastAsia="仿宋_GB2312" w:hAnsiTheme="minorEastAsia"/>
          <w:sz w:val="28"/>
          <w:szCs w:val="28"/>
        </w:rPr>
      </w:pPr>
      <w:r>
        <w:rPr>
          <w:rFonts w:hint="eastAsia" w:ascii="仿宋_GB2312" w:eastAsia="仿宋_GB2312" w:hAnsiTheme="minorEastAsia"/>
          <w:sz w:val="28"/>
          <w:szCs w:val="28"/>
        </w:rPr>
        <w:t>硕博连读研究生、直接攻博研究生在申请博士学位前，课程学习总学分不低于38学分，其中学位课学分不低于27学分，即：公共学位课11学分，包括政治理论课程、学术道德与学术写作规范课程和外国语类课程；专业学位课不低于16学分，包括集中教学阶段不低于12学分，研究所科研实践阶段专业学位课（包括核心课、普及课、研讨课）不少于2门且不低于4学分。</w:t>
      </w:r>
    </w:p>
    <w:p>
      <w:pPr>
        <w:pStyle w:val="13"/>
        <w:spacing w:line="360" w:lineRule="auto"/>
        <w:ind w:firstLine="560" w:firstLineChars="200"/>
        <w:rPr>
          <w:rFonts w:ascii="仿宋_GB2312" w:eastAsia="仿宋_GB2312" w:hAnsiTheme="minorEastAsia"/>
          <w:sz w:val="28"/>
          <w:szCs w:val="28"/>
        </w:rPr>
      </w:pPr>
      <w:r>
        <w:rPr>
          <w:rFonts w:hint="eastAsia" w:ascii="仿宋_GB2312" w:eastAsia="仿宋_GB2312" w:hAnsiTheme="minorEastAsia"/>
          <w:sz w:val="28"/>
          <w:szCs w:val="28"/>
        </w:rPr>
        <w:t>在集中教学期间，硕博连读研究生、直接攻博研究生课程学习总学分应不低于30学分，并须修满公共类课程学分。</w:t>
      </w:r>
    </w:p>
    <w:p>
      <w:pPr>
        <w:pStyle w:val="13"/>
        <w:spacing w:line="360" w:lineRule="auto"/>
        <w:ind w:firstLine="560" w:firstLineChars="200"/>
        <w:rPr>
          <w:rFonts w:asciiTheme="minorEastAsia" w:hAnsiTheme="minorEastAsia" w:eastAsiaTheme="minorEastAsia"/>
        </w:rPr>
      </w:pPr>
      <w:r>
        <w:rPr>
          <w:rFonts w:hint="eastAsia" w:ascii="仿宋_GB2312" w:eastAsia="仿宋_GB2312" w:hAnsiTheme="minorEastAsia"/>
          <w:sz w:val="28"/>
          <w:szCs w:val="28"/>
        </w:rPr>
        <w:t>普通招考博士研究生在申请博士学位前，课程学习总学分不低于9学分，其中，公共学位课5学分，包括政治理论课程、学术道德与学术写作规范课程和外国语类课程；专业学位课（包括核心课、普及课、研讨课）不少</w:t>
      </w:r>
      <w:r>
        <w:rPr>
          <w:rFonts w:hint="eastAsia" w:asciiTheme="minorEastAsia" w:hAnsiTheme="minorEastAsia" w:eastAsiaTheme="minorEastAsia"/>
        </w:rPr>
        <w:t>于</w:t>
      </w:r>
      <w:r>
        <w:rPr>
          <w:rFonts w:asciiTheme="minorEastAsia" w:hAnsiTheme="minorEastAsia" w:eastAsiaTheme="minorEastAsia"/>
        </w:rPr>
        <w:t>2</w:t>
      </w:r>
      <w:r>
        <w:rPr>
          <w:rFonts w:hint="eastAsia" w:asciiTheme="minorEastAsia" w:hAnsiTheme="minorEastAsia" w:eastAsiaTheme="minorEastAsia"/>
        </w:rPr>
        <w:t>门且不低于</w:t>
      </w:r>
      <w:r>
        <w:rPr>
          <w:rFonts w:asciiTheme="minorEastAsia" w:hAnsiTheme="minorEastAsia" w:eastAsiaTheme="minorEastAsia"/>
        </w:rPr>
        <w:t>4</w:t>
      </w:r>
      <w:r>
        <w:rPr>
          <w:rFonts w:hint="eastAsia" w:asciiTheme="minorEastAsia" w:hAnsiTheme="minorEastAsia" w:eastAsiaTheme="minorEastAsia"/>
        </w:rPr>
        <w:t>学分。</w:t>
      </w:r>
    </w:p>
    <w:p>
      <w:pPr>
        <w:pStyle w:val="13"/>
        <w:spacing w:line="360" w:lineRule="auto"/>
        <w:ind w:firstLine="560" w:firstLineChars="200"/>
        <w:jc w:val="center"/>
        <w:rPr>
          <w:rFonts w:ascii="仿宋_GB2312" w:eastAsia="仿宋_GB2312" w:hAnsiTheme="minorEastAsia"/>
          <w:sz w:val="28"/>
          <w:szCs w:val="28"/>
        </w:rPr>
      </w:pPr>
      <w:r>
        <w:rPr>
          <w:rFonts w:hint="eastAsia" w:ascii="仿宋_GB2312" w:eastAsia="仿宋_GB2312" w:hAnsiTheme="minorEastAsia"/>
          <w:sz w:val="28"/>
          <w:szCs w:val="28"/>
        </w:rPr>
        <w:t>表2. 硕博生、直博生、普通招考博士生课程体系及学分要求</w:t>
      </w:r>
    </w:p>
    <w:tbl>
      <w:tblPr>
        <w:tblStyle w:val="10"/>
        <w:tblW w:w="9214" w:type="dxa"/>
        <w:jc w:val="cente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1555"/>
        <w:gridCol w:w="1842"/>
        <w:gridCol w:w="5817"/>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1555" w:type="dxa"/>
            <w:vAlign w:val="center"/>
          </w:tcPr>
          <w:p>
            <w:pPr>
              <w:pStyle w:val="13"/>
              <w:spacing w:line="360" w:lineRule="auto"/>
              <w:jc w:val="center"/>
              <w:rPr>
                <w:rFonts w:ascii="仿宋_GB2312" w:eastAsia="仿宋_GB2312"/>
                <w:sz w:val="28"/>
                <w:szCs w:val="28"/>
              </w:rPr>
            </w:pPr>
            <w:r>
              <w:rPr>
                <w:rFonts w:hint="eastAsia" w:ascii="仿宋_GB2312" w:eastAsia="仿宋_GB2312"/>
                <w:sz w:val="28"/>
                <w:szCs w:val="28"/>
              </w:rPr>
              <w:t>学生类别</w:t>
            </w:r>
          </w:p>
        </w:tc>
        <w:tc>
          <w:tcPr>
            <w:tcW w:w="1842" w:type="dxa"/>
            <w:vAlign w:val="center"/>
          </w:tcPr>
          <w:p>
            <w:pPr>
              <w:pStyle w:val="13"/>
              <w:spacing w:line="360" w:lineRule="auto"/>
              <w:jc w:val="center"/>
              <w:rPr>
                <w:rFonts w:ascii="仿宋_GB2312" w:eastAsia="仿宋_GB2312"/>
                <w:sz w:val="28"/>
                <w:szCs w:val="28"/>
              </w:rPr>
            </w:pPr>
            <w:r>
              <w:rPr>
                <w:rFonts w:hint="eastAsia" w:ascii="仿宋_GB2312" w:eastAsia="仿宋_GB2312"/>
                <w:sz w:val="28"/>
                <w:szCs w:val="28"/>
              </w:rPr>
              <w:t>课程类别</w:t>
            </w:r>
          </w:p>
        </w:tc>
        <w:tc>
          <w:tcPr>
            <w:tcW w:w="5817" w:type="dxa"/>
            <w:vAlign w:val="center"/>
          </w:tcPr>
          <w:p>
            <w:pPr>
              <w:autoSpaceDE w:val="0"/>
              <w:autoSpaceDN w:val="0"/>
              <w:adjustRightInd w:val="0"/>
              <w:jc w:val="left"/>
              <w:rPr>
                <w:rFonts w:ascii="仿宋_GB2312" w:eastAsia="仿宋_GB2312" w:cs="宋体"/>
                <w:kern w:val="0"/>
                <w:sz w:val="28"/>
                <w:szCs w:val="28"/>
              </w:rPr>
            </w:pPr>
            <w:r>
              <w:rPr>
                <w:rFonts w:hint="eastAsia" w:ascii="仿宋_GB2312" w:eastAsia="仿宋_GB2312" w:cs="宋体"/>
                <w:kern w:val="0"/>
                <w:sz w:val="28"/>
                <w:szCs w:val="28"/>
              </w:rPr>
              <w:t>学分要求</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1555" w:type="dxa"/>
            <w:vMerge w:val="restart"/>
            <w:vAlign w:val="center"/>
          </w:tcPr>
          <w:p>
            <w:pPr>
              <w:pStyle w:val="13"/>
              <w:spacing w:line="360" w:lineRule="auto"/>
              <w:jc w:val="center"/>
              <w:rPr>
                <w:rFonts w:ascii="仿宋_GB2312" w:eastAsia="仿宋_GB2312" w:hAnsiTheme="minorEastAsia"/>
                <w:sz w:val="28"/>
                <w:szCs w:val="28"/>
              </w:rPr>
            </w:pPr>
            <w:r>
              <w:rPr>
                <w:rFonts w:hint="eastAsia" w:ascii="仿宋_GB2312" w:eastAsia="仿宋_GB2312"/>
                <w:sz w:val="28"/>
                <w:szCs w:val="28"/>
              </w:rPr>
              <w:t>硕博连读/ 直博生</w:t>
            </w:r>
          </w:p>
        </w:tc>
        <w:tc>
          <w:tcPr>
            <w:tcW w:w="1842" w:type="dxa"/>
            <w:vAlign w:val="center"/>
          </w:tcPr>
          <w:p>
            <w:pPr>
              <w:pStyle w:val="13"/>
              <w:spacing w:line="360" w:lineRule="auto"/>
              <w:jc w:val="center"/>
              <w:rPr>
                <w:rFonts w:ascii="仿宋_GB2312" w:eastAsia="仿宋_GB2312"/>
                <w:sz w:val="28"/>
                <w:szCs w:val="28"/>
              </w:rPr>
            </w:pPr>
            <w:r>
              <w:rPr>
                <w:rFonts w:hint="eastAsia" w:ascii="仿宋_GB2312" w:eastAsia="仿宋_GB2312"/>
                <w:sz w:val="28"/>
                <w:szCs w:val="28"/>
              </w:rPr>
              <w:t>公共学位课</w:t>
            </w:r>
          </w:p>
          <w:p>
            <w:pPr>
              <w:pStyle w:val="13"/>
              <w:spacing w:line="360" w:lineRule="auto"/>
              <w:jc w:val="center"/>
              <w:rPr>
                <w:rFonts w:ascii="仿宋_GB2312" w:eastAsia="仿宋_GB2312" w:hAnsiTheme="minorEastAsia"/>
                <w:sz w:val="28"/>
                <w:szCs w:val="28"/>
              </w:rPr>
            </w:pPr>
            <w:r>
              <w:rPr>
                <w:rFonts w:hint="eastAsia" w:ascii="仿宋_GB2312" w:eastAsia="仿宋_GB2312" w:hAnsiTheme="minorEastAsia"/>
                <w:sz w:val="28"/>
                <w:szCs w:val="28"/>
              </w:rPr>
              <w:t>（</w:t>
            </w:r>
            <w:r>
              <w:rPr>
                <w:rFonts w:hint="eastAsia" w:ascii="仿宋_GB2312" w:eastAsia="仿宋_GB2312"/>
                <w:sz w:val="28"/>
                <w:szCs w:val="28"/>
              </w:rPr>
              <w:t>11学分</w:t>
            </w:r>
            <w:r>
              <w:rPr>
                <w:rFonts w:hint="eastAsia" w:ascii="仿宋_GB2312" w:eastAsia="仿宋_GB2312" w:hAnsiTheme="minorEastAsia"/>
                <w:sz w:val="28"/>
                <w:szCs w:val="28"/>
              </w:rPr>
              <w:t>）</w:t>
            </w:r>
          </w:p>
        </w:tc>
        <w:tc>
          <w:tcPr>
            <w:tcW w:w="5817" w:type="dxa"/>
            <w:vAlign w:val="center"/>
          </w:tcPr>
          <w:p>
            <w:pPr>
              <w:autoSpaceDE w:val="0"/>
              <w:autoSpaceDN w:val="0"/>
              <w:adjustRightInd w:val="0"/>
              <w:jc w:val="left"/>
              <w:rPr>
                <w:rFonts w:ascii="仿宋_GB2312" w:eastAsia="仿宋_GB2312" w:cs="宋体"/>
                <w:kern w:val="0"/>
                <w:sz w:val="28"/>
                <w:szCs w:val="28"/>
              </w:rPr>
            </w:pPr>
            <w:r>
              <w:rPr>
                <w:rFonts w:hint="eastAsia" w:ascii="仿宋_GB2312" w:eastAsia="仿宋_GB2312" w:cs="宋体"/>
                <w:kern w:val="0"/>
                <w:sz w:val="28"/>
                <w:szCs w:val="28"/>
              </w:rPr>
              <w:t>中国特色社会主义理论与实践研究（2 学分）</w:t>
            </w:r>
          </w:p>
          <w:p>
            <w:pPr>
              <w:autoSpaceDE w:val="0"/>
              <w:autoSpaceDN w:val="0"/>
              <w:adjustRightInd w:val="0"/>
              <w:jc w:val="left"/>
              <w:rPr>
                <w:rFonts w:ascii="仿宋_GB2312" w:eastAsia="仿宋_GB2312" w:cs="宋体"/>
                <w:kern w:val="0"/>
                <w:sz w:val="28"/>
                <w:szCs w:val="28"/>
              </w:rPr>
            </w:pPr>
            <w:r>
              <w:rPr>
                <w:rFonts w:hint="eastAsia" w:ascii="仿宋_GB2312" w:eastAsia="仿宋_GB2312" w:cs="宋体"/>
                <w:kern w:val="0"/>
                <w:sz w:val="28"/>
                <w:szCs w:val="28"/>
              </w:rPr>
              <w:t>自然辩证法概论（1 学分）</w:t>
            </w:r>
          </w:p>
          <w:p>
            <w:pPr>
              <w:autoSpaceDE w:val="0"/>
              <w:autoSpaceDN w:val="0"/>
              <w:adjustRightInd w:val="0"/>
              <w:jc w:val="left"/>
              <w:rPr>
                <w:rFonts w:ascii="仿宋_GB2312" w:eastAsia="仿宋_GB2312" w:cs="宋体"/>
                <w:kern w:val="0"/>
                <w:sz w:val="28"/>
                <w:szCs w:val="28"/>
              </w:rPr>
            </w:pPr>
            <w:r>
              <w:rPr>
                <w:rFonts w:hint="eastAsia" w:ascii="仿宋_GB2312" w:eastAsia="仿宋_GB2312" w:cs="宋体"/>
                <w:kern w:val="0"/>
                <w:sz w:val="28"/>
                <w:szCs w:val="28"/>
              </w:rPr>
              <w:t>学术道德与学术写作规范（1 学分）</w:t>
            </w:r>
          </w:p>
          <w:p>
            <w:pPr>
              <w:autoSpaceDE w:val="0"/>
              <w:autoSpaceDN w:val="0"/>
              <w:adjustRightInd w:val="0"/>
              <w:jc w:val="left"/>
              <w:rPr>
                <w:rFonts w:ascii="仿宋_GB2312" w:eastAsia="仿宋_GB2312" w:cs="宋体"/>
                <w:kern w:val="0"/>
                <w:sz w:val="28"/>
                <w:szCs w:val="28"/>
              </w:rPr>
            </w:pPr>
            <w:r>
              <w:rPr>
                <w:rFonts w:hint="eastAsia" w:ascii="仿宋_GB2312" w:eastAsia="仿宋_GB2312" w:cs="宋体"/>
                <w:kern w:val="0"/>
                <w:sz w:val="28"/>
                <w:szCs w:val="28"/>
              </w:rPr>
              <w:t>硕士学位英语（英语A）(3 学分)</w:t>
            </w:r>
          </w:p>
          <w:p>
            <w:pPr>
              <w:autoSpaceDE w:val="0"/>
              <w:autoSpaceDN w:val="0"/>
              <w:adjustRightInd w:val="0"/>
              <w:jc w:val="left"/>
              <w:rPr>
                <w:rFonts w:ascii="仿宋_GB2312" w:eastAsia="仿宋_GB2312" w:cs="宋体"/>
                <w:kern w:val="0"/>
                <w:sz w:val="28"/>
                <w:szCs w:val="28"/>
              </w:rPr>
            </w:pPr>
            <w:r>
              <w:rPr>
                <w:rFonts w:hint="eastAsia" w:ascii="仿宋_GB2312" w:eastAsia="仿宋_GB2312" w:cs="宋体"/>
                <w:kern w:val="0"/>
                <w:sz w:val="28"/>
                <w:szCs w:val="28"/>
              </w:rPr>
              <w:t>博士学位英语（英语B）(2 学分)</w:t>
            </w:r>
          </w:p>
          <w:p>
            <w:pPr>
              <w:pStyle w:val="13"/>
              <w:spacing w:line="360" w:lineRule="auto"/>
              <w:rPr>
                <w:rFonts w:ascii="仿宋_GB2312" w:eastAsia="仿宋_GB2312" w:hAnsiTheme="minorEastAsia"/>
                <w:sz w:val="28"/>
                <w:szCs w:val="28"/>
              </w:rPr>
            </w:pPr>
            <w:r>
              <w:rPr>
                <w:rFonts w:hint="eastAsia" w:ascii="仿宋_GB2312" w:eastAsia="仿宋_GB2312"/>
                <w:sz w:val="28"/>
                <w:szCs w:val="28"/>
              </w:rPr>
              <w:t>中国马克思主义与当代（2 学分）</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1555" w:type="dxa"/>
            <w:vMerge w:val="continue"/>
            <w:vAlign w:val="center"/>
          </w:tcPr>
          <w:p>
            <w:pPr>
              <w:pStyle w:val="13"/>
              <w:spacing w:line="360" w:lineRule="auto"/>
              <w:jc w:val="center"/>
              <w:rPr>
                <w:rFonts w:ascii="仿宋_GB2312" w:eastAsia="仿宋_GB2312" w:hAnsiTheme="minorEastAsia"/>
                <w:sz w:val="28"/>
                <w:szCs w:val="28"/>
              </w:rPr>
            </w:pPr>
          </w:p>
        </w:tc>
        <w:tc>
          <w:tcPr>
            <w:tcW w:w="1842" w:type="dxa"/>
            <w:vAlign w:val="center"/>
          </w:tcPr>
          <w:p>
            <w:pPr>
              <w:autoSpaceDE w:val="0"/>
              <w:autoSpaceDN w:val="0"/>
              <w:adjustRightInd w:val="0"/>
              <w:jc w:val="center"/>
              <w:rPr>
                <w:rFonts w:ascii="仿宋_GB2312" w:eastAsia="仿宋_GB2312" w:cs="宋体"/>
                <w:kern w:val="0"/>
                <w:sz w:val="28"/>
                <w:szCs w:val="28"/>
              </w:rPr>
            </w:pPr>
            <w:r>
              <w:rPr>
                <w:rFonts w:hint="eastAsia" w:ascii="仿宋_GB2312" w:eastAsia="仿宋_GB2312" w:cs="宋体"/>
                <w:kern w:val="0"/>
                <w:sz w:val="28"/>
                <w:szCs w:val="28"/>
              </w:rPr>
              <w:t>专业学位课</w:t>
            </w:r>
          </w:p>
        </w:tc>
        <w:tc>
          <w:tcPr>
            <w:tcW w:w="5817" w:type="dxa"/>
            <w:vAlign w:val="center"/>
          </w:tcPr>
          <w:p>
            <w:pPr>
              <w:autoSpaceDE w:val="0"/>
              <w:autoSpaceDN w:val="0"/>
              <w:adjustRightInd w:val="0"/>
              <w:jc w:val="left"/>
              <w:rPr>
                <w:rFonts w:ascii="仿宋_GB2312" w:eastAsia="仿宋_GB2312" w:cs="宋体"/>
                <w:kern w:val="0"/>
                <w:sz w:val="28"/>
                <w:szCs w:val="28"/>
              </w:rPr>
            </w:pPr>
            <w:r>
              <w:rPr>
                <w:rFonts w:hint="eastAsia" w:ascii="仿宋_GB2312" w:eastAsia="仿宋_GB2312" w:cs="宋体"/>
                <w:kern w:val="0"/>
                <w:sz w:val="28"/>
                <w:szCs w:val="28"/>
              </w:rPr>
              <w:t>不低于 16 学分，其中</w:t>
            </w:r>
            <w:r>
              <w:rPr>
                <w:rFonts w:hint="eastAsia" w:ascii="仿宋_GB2312" w:eastAsia="仿宋_GB2312" w:hAnsiTheme="minorEastAsia"/>
                <w:sz w:val="28"/>
                <w:szCs w:val="28"/>
              </w:rPr>
              <w:t>集中教学阶段不低于12学分，研究所科研实践阶段不低于4学分</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1555" w:type="dxa"/>
            <w:vMerge w:val="continue"/>
            <w:vAlign w:val="center"/>
          </w:tcPr>
          <w:p>
            <w:pPr>
              <w:pStyle w:val="13"/>
              <w:spacing w:line="360" w:lineRule="auto"/>
              <w:jc w:val="center"/>
              <w:rPr>
                <w:rFonts w:ascii="仿宋_GB2312" w:eastAsia="仿宋_GB2312" w:hAnsiTheme="minorEastAsia"/>
                <w:sz w:val="28"/>
                <w:szCs w:val="28"/>
              </w:rPr>
            </w:pPr>
          </w:p>
        </w:tc>
        <w:tc>
          <w:tcPr>
            <w:tcW w:w="1842" w:type="dxa"/>
            <w:vAlign w:val="center"/>
          </w:tcPr>
          <w:p>
            <w:pPr>
              <w:autoSpaceDE w:val="0"/>
              <w:autoSpaceDN w:val="0"/>
              <w:adjustRightInd w:val="0"/>
              <w:jc w:val="center"/>
              <w:rPr>
                <w:rFonts w:ascii="仿宋_GB2312" w:eastAsia="仿宋_GB2312" w:hAnsiTheme="minorEastAsia"/>
                <w:sz w:val="28"/>
                <w:szCs w:val="28"/>
              </w:rPr>
            </w:pPr>
            <w:r>
              <w:rPr>
                <w:rFonts w:hint="eastAsia" w:ascii="仿宋_GB2312" w:eastAsia="仿宋_GB2312" w:cs="宋体"/>
                <w:kern w:val="0"/>
                <w:sz w:val="28"/>
                <w:szCs w:val="28"/>
              </w:rPr>
              <w:t>公共选修课</w:t>
            </w:r>
          </w:p>
        </w:tc>
        <w:tc>
          <w:tcPr>
            <w:tcW w:w="5817" w:type="dxa"/>
            <w:vAlign w:val="center"/>
          </w:tcPr>
          <w:p>
            <w:pPr>
              <w:autoSpaceDE w:val="0"/>
              <w:autoSpaceDN w:val="0"/>
              <w:adjustRightInd w:val="0"/>
              <w:jc w:val="left"/>
              <w:rPr>
                <w:rFonts w:ascii="仿宋_GB2312" w:eastAsia="仿宋_GB2312" w:cs="宋体"/>
                <w:kern w:val="0"/>
                <w:sz w:val="28"/>
                <w:szCs w:val="28"/>
              </w:rPr>
            </w:pPr>
            <w:r>
              <w:rPr>
                <w:rFonts w:hint="eastAsia" w:ascii="仿宋_GB2312" w:eastAsia="仿宋_GB2312" w:cs="宋体"/>
                <w:kern w:val="0"/>
                <w:sz w:val="28"/>
                <w:szCs w:val="28"/>
              </w:rPr>
              <w:t>不低于 2 学分</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1555" w:type="dxa"/>
            <w:vMerge w:val="continue"/>
            <w:vAlign w:val="center"/>
          </w:tcPr>
          <w:p>
            <w:pPr>
              <w:pStyle w:val="13"/>
              <w:spacing w:line="360" w:lineRule="auto"/>
              <w:jc w:val="center"/>
              <w:rPr>
                <w:rFonts w:ascii="仿宋_GB2312" w:eastAsia="仿宋_GB2312" w:hAnsiTheme="minorEastAsia"/>
                <w:sz w:val="28"/>
                <w:szCs w:val="28"/>
              </w:rPr>
            </w:pPr>
          </w:p>
        </w:tc>
        <w:tc>
          <w:tcPr>
            <w:tcW w:w="7659" w:type="dxa"/>
            <w:gridSpan w:val="2"/>
            <w:vAlign w:val="center"/>
          </w:tcPr>
          <w:p>
            <w:pPr>
              <w:autoSpaceDE w:val="0"/>
              <w:autoSpaceDN w:val="0"/>
              <w:adjustRightInd w:val="0"/>
              <w:jc w:val="left"/>
              <w:rPr>
                <w:rFonts w:ascii="仿宋_GB2312" w:eastAsia="仿宋_GB2312" w:cs="宋体"/>
                <w:kern w:val="0"/>
                <w:sz w:val="28"/>
                <w:szCs w:val="28"/>
              </w:rPr>
            </w:pPr>
            <w:r>
              <w:rPr>
                <w:rFonts w:hint="eastAsia" w:ascii="仿宋_GB2312" w:eastAsia="仿宋_GB2312" w:cs="宋体"/>
                <w:kern w:val="0"/>
                <w:sz w:val="28"/>
                <w:szCs w:val="28"/>
              </w:rPr>
              <w:t>总学分要求：</w:t>
            </w:r>
          </w:p>
          <w:p>
            <w:pPr>
              <w:autoSpaceDE w:val="0"/>
              <w:autoSpaceDN w:val="0"/>
              <w:adjustRightInd w:val="0"/>
              <w:jc w:val="left"/>
              <w:rPr>
                <w:rFonts w:ascii="仿宋_GB2312" w:eastAsia="仿宋_GB2312" w:cs="宋体"/>
                <w:kern w:val="0"/>
                <w:sz w:val="28"/>
                <w:szCs w:val="28"/>
              </w:rPr>
            </w:pPr>
            <w:r>
              <w:rPr>
                <w:rFonts w:hint="eastAsia" w:ascii="仿宋_GB2312" w:eastAsia="仿宋_GB2312" w:cs="宋体"/>
                <w:kern w:val="0"/>
                <w:sz w:val="28"/>
                <w:szCs w:val="28"/>
              </w:rPr>
              <w:t>不低于38 学分，其中集中教学阶段不低于30学分</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1555" w:type="dxa"/>
            <w:vMerge w:val="restart"/>
            <w:vAlign w:val="center"/>
          </w:tcPr>
          <w:p>
            <w:pPr>
              <w:pStyle w:val="13"/>
              <w:spacing w:line="360" w:lineRule="auto"/>
              <w:jc w:val="center"/>
              <w:rPr>
                <w:rFonts w:ascii="仿宋_GB2312" w:eastAsia="仿宋_GB2312" w:hAnsiTheme="minorEastAsia"/>
                <w:sz w:val="28"/>
                <w:szCs w:val="28"/>
              </w:rPr>
            </w:pPr>
            <w:r>
              <w:rPr>
                <w:rFonts w:hint="eastAsia" w:ascii="仿宋_GB2312" w:eastAsia="仿宋_GB2312" w:hAnsiTheme="minorEastAsia"/>
                <w:sz w:val="28"/>
                <w:szCs w:val="28"/>
              </w:rPr>
              <w:t>普通招考博士生</w:t>
            </w:r>
          </w:p>
        </w:tc>
        <w:tc>
          <w:tcPr>
            <w:tcW w:w="1842" w:type="dxa"/>
            <w:vAlign w:val="center"/>
          </w:tcPr>
          <w:p>
            <w:pPr>
              <w:autoSpaceDE w:val="0"/>
              <w:autoSpaceDN w:val="0"/>
              <w:adjustRightInd w:val="0"/>
              <w:jc w:val="center"/>
              <w:rPr>
                <w:rFonts w:ascii="仿宋_GB2312" w:eastAsia="仿宋_GB2312" w:cs="宋体"/>
                <w:kern w:val="0"/>
                <w:sz w:val="28"/>
                <w:szCs w:val="28"/>
              </w:rPr>
            </w:pPr>
            <w:r>
              <w:rPr>
                <w:rFonts w:hint="eastAsia" w:ascii="仿宋_GB2312" w:eastAsia="仿宋_GB2312" w:cs="宋体"/>
                <w:kern w:val="0"/>
                <w:sz w:val="28"/>
                <w:szCs w:val="28"/>
              </w:rPr>
              <w:t>公共学位课</w:t>
            </w:r>
          </w:p>
          <w:p>
            <w:pPr>
              <w:autoSpaceDE w:val="0"/>
              <w:autoSpaceDN w:val="0"/>
              <w:adjustRightInd w:val="0"/>
              <w:jc w:val="center"/>
              <w:rPr>
                <w:rFonts w:ascii="仿宋_GB2312" w:eastAsia="仿宋_GB2312" w:cs="宋体"/>
                <w:kern w:val="0"/>
                <w:sz w:val="28"/>
                <w:szCs w:val="28"/>
              </w:rPr>
            </w:pPr>
            <w:r>
              <w:rPr>
                <w:rFonts w:hint="eastAsia" w:ascii="仿宋_GB2312" w:eastAsia="仿宋_GB2312" w:cs="宋体"/>
                <w:kern w:val="0"/>
                <w:sz w:val="28"/>
                <w:szCs w:val="28"/>
              </w:rPr>
              <w:t>（总计5学分）</w:t>
            </w:r>
          </w:p>
        </w:tc>
        <w:tc>
          <w:tcPr>
            <w:tcW w:w="5817" w:type="dxa"/>
            <w:vAlign w:val="center"/>
          </w:tcPr>
          <w:p>
            <w:pPr>
              <w:autoSpaceDE w:val="0"/>
              <w:autoSpaceDN w:val="0"/>
              <w:adjustRightInd w:val="0"/>
              <w:jc w:val="left"/>
              <w:rPr>
                <w:rFonts w:ascii="仿宋_GB2312" w:eastAsia="仿宋_GB2312" w:cs="宋体"/>
                <w:kern w:val="0"/>
                <w:sz w:val="28"/>
                <w:szCs w:val="28"/>
              </w:rPr>
            </w:pPr>
            <w:r>
              <w:rPr>
                <w:rFonts w:hint="eastAsia" w:ascii="仿宋_GB2312" w:eastAsia="仿宋_GB2312" w:cs="宋体"/>
                <w:kern w:val="0"/>
                <w:sz w:val="28"/>
                <w:szCs w:val="28"/>
              </w:rPr>
              <w:t>博士学位英语（英语B）(2 学分)</w:t>
            </w:r>
          </w:p>
          <w:p>
            <w:pPr>
              <w:autoSpaceDE w:val="0"/>
              <w:autoSpaceDN w:val="0"/>
              <w:adjustRightInd w:val="0"/>
              <w:jc w:val="left"/>
              <w:rPr>
                <w:rFonts w:ascii="仿宋_GB2312" w:eastAsia="仿宋_GB2312" w:cs="宋体"/>
                <w:kern w:val="0"/>
                <w:sz w:val="28"/>
                <w:szCs w:val="28"/>
              </w:rPr>
            </w:pPr>
            <w:r>
              <w:rPr>
                <w:rFonts w:hint="eastAsia" w:ascii="仿宋_GB2312" w:eastAsia="仿宋_GB2312" w:cs="宋体"/>
                <w:kern w:val="0"/>
                <w:sz w:val="28"/>
                <w:szCs w:val="28"/>
              </w:rPr>
              <w:t>中国马克思主义与当代（2 学分）</w:t>
            </w:r>
          </w:p>
          <w:p>
            <w:pPr>
              <w:autoSpaceDE w:val="0"/>
              <w:autoSpaceDN w:val="0"/>
              <w:adjustRightInd w:val="0"/>
              <w:jc w:val="left"/>
              <w:rPr>
                <w:rFonts w:ascii="仿宋_GB2312" w:eastAsia="仿宋_GB2312" w:cs="宋体"/>
                <w:kern w:val="0"/>
                <w:sz w:val="28"/>
                <w:szCs w:val="28"/>
              </w:rPr>
            </w:pPr>
            <w:r>
              <w:rPr>
                <w:rFonts w:hint="eastAsia" w:ascii="仿宋_GB2312" w:eastAsia="仿宋_GB2312" w:cs="宋体"/>
                <w:kern w:val="0"/>
                <w:sz w:val="28"/>
                <w:szCs w:val="28"/>
              </w:rPr>
              <w:t>学术道德与学术写作规范（1 学分）</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1555" w:type="dxa"/>
            <w:vMerge w:val="continue"/>
            <w:vAlign w:val="center"/>
          </w:tcPr>
          <w:p>
            <w:pPr>
              <w:pStyle w:val="13"/>
              <w:spacing w:line="360" w:lineRule="auto"/>
              <w:jc w:val="center"/>
              <w:rPr>
                <w:rFonts w:ascii="仿宋_GB2312" w:eastAsia="仿宋_GB2312" w:hAnsiTheme="minorEastAsia"/>
                <w:sz w:val="28"/>
                <w:szCs w:val="28"/>
              </w:rPr>
            </w:pPr>
          </w:p>
        </w:tc>
        <w:tc>
          <w:tcPr>
            <w:tcW w:w="1842" w:type="dxa"/>
            <w:vAlign w:val="center"/>
          </w:tcPr>
          <w:p>
            <w:pPr>
              <w:autoSpaceDE w:val="0"/>
              <w:autoSpaceDN w:val="0"/>
              <w:adjustRightInd w:val="0"/>
              <w:jc w:val="center"/>
              <w:rPr>
                <w:rFonts w:ascii="仿宋_GB2312" w:eastAsia="仿宋_GB2312" w:cs="宋体"/>
                <w:kern w:val="0"/>
                <w:sz w:val="28"/>
                <w:szCs w:val="28"/>
              </w:rPr>
            </w:pPr>
            <w:r>
              <w:rPr>
                <w:rFonts w:hint="eastAsia" w:ascii="仿宋_GB2312" w:eastAsia="仿宋_GB2312" w:cs="宋体"/>
                <w:kern w:val="0"/>
                <w:sz w:val="28"/>
                <w:szCs w:val="28"/>
              </w:rPr>
              <w:t>专业学位课</w:t>
            </w:r>
          </w:p>
        </w:tc>
        <w:tc>
          <w:tcPr>
            <w:tcW w:w="5817" w:type="dxa"/>
            <w:vAlign w:val="center"/>
          </w:tcPr>
          <w:p>
            <w:pPr>
              <w:autoSpaceDE w:val="0"/>
              <w:autoSpaceDN w:val="0"/>
              <w:adjustRightInd w:val="0"/>
              <w:jc w:val="left"/>
              <w:rPr>
                <w:rFonts w:ascii="仿宋_GB2312" w:eastAsia="仿宋_GB2312" w:cs="宋体"/>
                <w:kern w:val="0"/>
                <w:sz w:val="28"/>
                <w:szCs w:val="28"/>
              </w:rPr>
            </w:pPr>
            <w:r>
              <w:rPr>
                <w:rFonts w:hint="eastAsia" w:ascii="仿宋_GB2312" w:eastAsia="仿宋_GB2312" w:hAnsiTheme="minorEastAsia"/>
                <w:sz w:val="28"/>
                <w:szCs w:val="28"/>
              </w:rPr>
              <w:t>不少于2门且不低于4学分</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1555" w:type="dxa"/>
            <w:vMerge w:val="continue"/>
            <w:vAlign w:val="center"/>
          </w:tcPr>
          <w:p>
            <w:pPr>
              <w:pStyle w:val="13"/>
              <w:spacing w:line="360" w:lineRule="auto"/>
              <w:jc w:val="center"/>
              <w:rPr>
                <w:rFonts w:ascii="仿宋_GB2312" w:eastAsia="仿宋_GB2312" w:hAnsiTheme="minorEastAsia"/>
                <w:sz w:val="28"/>
                <w:szCs w:val="28"/>
              </w:rPr>
            </w:pPr>
          </w:p>
        </w:tc>
        <w:tc>
          <w:tcPr>
            <w:tcW w:w="7659" w:type="dxa"/>
            <w:gridSpan w:val="2"/>
            <w:vAlign w:val="center"/>
          </w:tcPr>
          <w:p>
            <w:pPr>
              <w:autoSpaceDE w:val="0"/>
              <w:autoSpaceDN w:val="0"/>
              <w:adjustRightInd w:val="0"/>
              <w:jc w:val="center"/>
              <w:rPr>
                <w:rFonts w:ascii="仿宋_GB2312" w:eastAsia="仿宋_GB2312" w:hAnsiTheme="minorEastAsia"/>
                <w:sz w:val="28"/>
                <w:szCs w:val="28"/>
              </w:rPr>
            </w:pPr>
            <w:r>
              <w:rPr>
                <w:rFonts w:hint="eastAsia" w:ascii="仿宋_GB2312" w:eastAsia="仿宋_GB2312" w:cs="宋体"/>
                <w:kern w:val="0"/>
                <w:sz w:val="28"/>
                <w:szCs w:val="28"/>
              </w:rPr>
              <w:t>总学分要求：</w:t>
            </w:r>
            <w:r>
              <w:rPr>
                <w:rFonts w:hint="eastAsia" w:ascii="仿宋_GB2312" w:eastAsia="仿宋_GB2312" w:hAnsiTheme="minorEastAsia"/>
                <w:sz w:val="28"/>
                <w:szCs w:val="28"/>
              </w:rPr>
              <w:t>不低于9学分</w:t>
            </w:r>
          </w:p>
        </w:tc>
      </w:tr>
    </w:tbl>
    <w:p>
      <w:pPr>
        <w:pStyle w:val="2"/>
        <w:spacing w:after="0" w:line="360" w:lineRule="auto"/>
        <w:ind w:left="480"/>
        <w:rPr>
          <w:rFonts w:ascii="仿宋_GB2312" w:eastAsia="仿宋_GB2312"/>
          <w:kern w:val="0"/>
          <w:sz w:val="28"/>
          <w:szCs w:val="28"/>
        </w:rPr>
      </w:pPr>
      <w:r>
        <w:rPr>
          <w:rFonts w:hint="eastAsia" w:ascii="仿宋_GB2312" w:eastAsia="仿宋_GB2312"/>
          <w:kern w:val="0"/>
          <w:sz w:val="28"/>
          <w:szCs w:val="28"/>
        </w:rPr>
        <w:t>五、需阅读的主要经典著作和专业学术期刊目录</w:t>
      </w:r>
    </w:p>
    <w:p>
      <w:pPr>
        <w:autoSpaceDE w:val="0"/>
        <w:autoSpaceDN w:val="0"/>
        <w:adjustRightInd w:val="0"/>
        <w:spacing w:line="360" w:lineRule="auto"/>
        <w:ind w:firstLine="560" w:firstLineChars="200"/>
        <w:jc w:val="left"/>
        <w:rPr>
          <w:rFonts w:ascii="仿宋_GB2312" w:eastAsia="仿宋_GB2312" w:cs="宋体"/>
          <w:color w:val="000000"/>
          <w:kern w:val="0"/>
          <w:sz w:val="28"/>
          <w:szCs w:val="28"/>
        </w:rPr>
      </w:pPr>
      <w:r>
        <w:rPr>
          <w:rFonts w:hint="eastAsia" w:ascii="仿宋_GB2312" w:eastAsia="仿宋_GB2312" w:cs="宋体"/>
          <w:color w:val="000000"/>
          <w:kern w:val="0"/>
          <w:sz w:val="28"/>
          <w:szCs w:val="28"/>
        </w:rPr>
        <w:t>各学科/研究方向根据自身研究历史、特点和发展趋势，制定博士研究生需阅读的主要经典著作和专业学术期刊目录。</w:t>
      </w:r>
    </w:p>
    <w:p>
      <w:pPr>
        <w:pStyle w:val="2"/>
        <w:spacing w:after="0" w:line="360" w:lineRule="auto"/>
        <w:ind w:left="480"/>
        <w:rPr>
          <w:rFonts w:ascii="仿宋_GB2312" w:eastAsia="仿宋_GB2312"/>
          <w:kern w:val="0"/>
          <w:sz w:val="28"/>
          <w:szCs w:val="28"/>
        </w:rPr>
      </w:pPr>
      <w:r>
        <w:rPr>
          <w:rFonts w:hint="eastAsia" w:ascii="仿宋_GB2312" w:eastAsia="仿宋_GB2312"/>
          <w:kern w:val="0"/>
          <w:sz w:val="28"/>
          <w:szCs w:val="28"/>
        </w:rPr>
        <w:t>六、博士资格考试的基本要求</w:t>
      </w:r>
    </w:p>
    <w:p>
      <w:pPr>
        <w:autoSpaceDE w:val="0"/>
        <w:autoSpaceDN w:val="0"/>
        <w:adjustRightInd w:val="0"/>
        <w:spacing w:line="360" w:lineRule="auto"/>
        <w:ind w:firstLine="560" w:firstLineChars="200"/>
        <w:jc w:val="left"/>
        <w:rPr>
          <w:rFonts w:ascii="仿宋_GB2312" w:eastAsia="仿宋_GB2312" w:cs="宋体" w:hAnsiTheme="minorEastAsia"/>
          <w:color w:val="000000"/>
          <w:kern w:val="0"/>
          <w:sz w:val="28"/>
          <w:szCs w:val="28"/>
        </w:rPr>
      </w:pPr>
      <w:r>
        <w:rPr>
          <w:rFonts w:hint="eastAsia" w:ascii="仿宋_GB2312" w:eastAsia="仿宋_GB2312" w:cs="宋体" w:hAnsiTheme="minorEastAsia"/>
          <w:color w:val="000000"/>
          <w:kern w:val="0"/>
          <w:sz w:val="28"/>
          <w:szCs w:val="28"/>
        </w:rPr>
        <w:t>博士研究生资格考试是博士研究生正式进入学位论文研究阶段前的一次综合考核。博士资格考试重点考察博士研究生是否掌握了坚实和宽广的学科基础和专门知识；是否能综合运用这些知识分析和解决问题；是否具备进行创新性研究工作的能力。</w:t>
      </w:r>
    </w:p>
    <w:p>
      <w:pPr>
        <w:autoSpaceDE w:val="0"/>
        <w:autoSpaceDN w:val="0"/>
        <w:adjustRightInd w:val="0"/>
        <w:spacing w:line="360" w:lineRule="auto"/>
        <w:ind w:firstLine="560" w:firstLineChars="200"/>
        <w:jc w:val="left"/>
        <w:rPr>
          <w:rFonts w:ascii="仿宋_GB2312" w:eastAsia="仿宋_GB2312" w:cs="宋体" w:hAnsiTheme="minorEastAsia"/>
          <w:color w:val="000000"/>
          <w:kern w:val="0"/>
          <w:sz w:val="28"/>
          <w:szCs w:val="28"/>
        </w:rPr>
      </w:pPr>
      <w:r>
        <w:rPr>
          <w:rFonts w:hint="eastAsia" w:ascii="仿宋_GB2312" w:eastAsia="仿宋_GB2312" w:cs="宋体"/>
          <w:kern w:val="0"/>
          <w:sz w:val="28"/>
          <w:szCs w:val="28"/>
        </w:rPr>
        <w:t>硕博连读研究生必须经过资格考试，成绩合格方能获得博士研究生资格。</w:t>
      </w:r>
      <w:r>
        <w:rPr>
          <w:rFonts w:hint="eastAsia" w:ascii="仿宋_GB2312" w:eastAsia="仿宋_GB2312" w:cs="宋体" w:hAnsiTheme="minorEastAsia"/>
          <w:color w:val="000000"/>
          <w:kern w:val="0"/>
          <w:sz w:val="28"/>
          <w:szCs w:val="28"/>
        </w:rPr>
        <w:t>硕转博研究生资格考试一般在硕士生入学后的第四学期结束前完成，主要考察</w:t>
      </w:r>
      <w:r>
        <w:rPr>
          <w:rFonts w:hint="eastAsia" w:ascii="仿宋_GB2312" w:eastAsia="仿宋_GB2312" w:cs="宋体"/>
          <w:kern w:val="0"/>
          <w:sz w:val="28"/>
          <w:szCs w:val="28"/>
        </w:rPr>
        <w:t>学生在基础理论、创新能力和英语水平等方面的掌握情况</w:t>
      </w:r>
      <w:r>
        <w:rPr>
          <w:rFonts w:hint="eastAsia" w:ascii="仿宋_GB2312" w:eastAsia="仿宋_GB2312" w:cs="宋体" w:hAnsiTheme="minorEastAsia"/>
          <w:color w:val="000000"/>
          <w:kern w:val="0"/>
          <w:sz w:val="28"/>
          <w:szCs w:val="28"/>
        </w:rPr>
        <w:t>。参加博士资格考试的研究生必须完成培养方案规定的课程学习，成绩合格，修满规定的学分；由本人提出转博申请，并获得导师的推荐；研究所组织专家组成考核小组对参加博士生资格考试的学生进行考核。</w:t>
      </w:r>
      <w:r>
        <w:rPr>
          <w:rFonts w:hint="eastAsia" w:ascii="仿宋_GB2312" w:eastAsia="仿宋_GB2312" w:cs="宋体"/>
          <w:kern w:val="0"/>
          <w:sz w:val="28"/>
          <w:szCs w:val="28"/>
        </w:rPr>
        <w:t>硕博连读生必须通过资格考试，根据招生名额及择优录取的原则，方能获得博士研究生资格，并与公开招考博士生同批办理博士录取手续。</w:t>
      </w:r>
      <w:r>
        <w:rPr>
          <w:rFonts w:hint="eastAsia" w:ascii="仿宋_GB2312" w:eastAsia="仿宋_GB2312" w:cs="宋体" w:hAnsiTheme="minorEastAsia"/>
          <w:color w:val="000000"/>
          <w:kern w:val="0"/>
          <w:sz w:val="28"/>
          <w:szCs w:val="28"/>
        </w:rPr>
        <w:t>未通过者，按硕士学位研究生培养规定管理。</w:t>
      </w:r>
    </w:p>
    <w:p>
      <w:pPr>
        <w:autoSpaceDE w:val="0"/>
        <w:autoSpaceDN w:val="0"/>
        <w:adjustRightInd w:val="0"/>
        <w:spacing w:line="360" w:lineRule="auto"/>
        <w:ind w:firstLine="560" w:firstLineChars="200"/>
        <w:jc w:val="left"/>
        <w:rPr>
          <w:rFonts w:ascii="仿宋_GB2312" w:eastAsia="仿宋_GB2312" w:cs="宋体" w:hAnsiTheme="minorEastAsia"/>
          <w:color w:val="000000"/>
          <w:kern w:val="0"/>
          <w:sz w:val="28"/>
          <w:szCs w:val="28"/>
        </w:rPr>
      </w:pPr>
      <w:r>
        <w:rPr>
          <w:rFonts w:hint="eastAsia" w:ascii="仿宋_GB2312" w:eastAsia="仿宋_GB2312" w:cs="宋体" w:hAnsiTheme="minorEastAsia"/>
          <w:color w:val="000000"/>
          <w:kern w:val="0"/>
          <w:sz w:val="28"/>
          <w:szCs w:val="28"/>
        </w:rPr>
        <w:t>普通招考博士生和直博生以</w:t>
      </w:r>
      <w:r>
        <w:rPr>
          <w:rFonts w:hint="eastAsia" w:ascii="仿宋_GB2312" w:eastAsia="仿宋_GB2312" w:cs="宋体"/>
          <w:kern w:val="0"/>
          <w:sz w:val="28"/>
          <w:szCs w:val="28"/>
        </w:rPr>
        <w:t>开题报告的形式进行考核。考核未通过的博士研究生，需参加下一年考核，两次均未通过者按相关规定分流处理。</w:t>
      </w:r>
    </w:p>
    <w:p>
      <w:pPr>
        <w:pStyle w:val="2"/>
        <w:spacing w:after="0" w:line="360" w:lineRule="auto"/>
        <w:ind w:left="480"/>
        <w:rPr>
          <w:rFonts w:ascii="仿宋_GB2312" w:eastAsia="仿宋_GB2312"/>
          <w:kern w:val="0"/>
          <w:sz w:val="28"/>
          <w:szCs w:val="28"/>
        </w:rPr>
      </w:pPr>
      <w:r>
        <w:rPr>
          <w:rFonts w:hint="eastAsia" w:ascii="仿宋_GB2312" w:eastAsia="仿宋_GB2312"/>
          <w:kern w:val="0"/>
          <w:sz w:val="28"/>
          <w:szCs w:val="28"/>
        </w:rPr>
        <w:t>七、必修环节及要求</w:t>
      </w:r>
    </w:p>
    <w:p>
      <w:pPr>
        <w:spacing w:line="360" w:lineRule="auto"/>
        <w:ind w:firstLine="560" w:firstLineChars="200"/>
        <w:rPr>
          <w:rFonts w:ascii="仿宋_GB2312" w:eastAsia="仿宋_GB2312" w:cs="宋体"/>
          <w:color w:val="000000"/>
          <w:kern w:val="0"/>
          <w:sz w:val="28"/>
          <w:szCs w:val="28"/>
        </w:rPr>
      </w:pPr>
      <w:r>
        <w:rPr>
          <w:rFonts w:hint="eastAsia" w:ascii="仿宋_GB2312" w:eastAsia="仿宋_GB2312" w:cs="宋体"/>
          <w:color w:val="000000"/>
          <w:kern w:val="0"/>
          <w:sz w:val="28"/>
          <w:szCs w:val="28"/>
        </w:rPr>
        <w:t>博士研究生培养的必修环节包括开题报告、中期考核、学术报告和社会实践等，必修环节的总学分不低于6学分。</w:t>
      </w:r>
    </w:p>
    <w:p>
      <w:pPr>
        <w:autoSpaceDE w:val="0"/>
        <w:autoSpaceDN w:val="0"/>
        <w:adjustRightInd w:val="0"/>
        <w:spacing w:line="360" w:lineRule="auto"/>
        <w:ind w:firstLine="562" w:firstLineChars="200"/>
        <w:jc w:val="left"/>
        <w:rPr>
          <w:rFonts w:ascii="仿宋_GB2312" w:hAnsi="Calibri" w:eastAsia="仿宋_GB2312" w:cs="宋体"/>
          <w:b/>
          <w:kern w:val="0"/>
          <w:sz w:val="28"/>
          <w:szCs w:val="28"/>
        </w:rPr>
      </w:pPr>
      <w:r>
        <w:rPr>
          <w:rFonts w:hint="eastAsia" w:ascii="仿宋_GB2312" w:hAnsi="Calibri" w:eastAsia="仿宋_GB2312" w:cs="宋体"/>
          <w:b/>
          <w:kern w:val="0"/>
          <w:sz w:val="28"/>
          <w:szCs w:val="28"/>
        </w:rPr>
        <w:t>1. 开题报告（2学分）</w:t>
      </w:r>
    </w:p>
    <w:p>
      <w:pPr>
        <w:autoSpaceDE w:val="0"/>
        <w:autoSpaceDN w:val="0"/>
        <w:adjustRightInd w:val="0"/>
        <w:spacing w:line="360" w:lineRule="auto"/>
        <w:ind w:firstLine="560" w:firstLineChars="200"/>
        <w:jc w:val="left"/>
        <w:rPr>
          <w:rFonts w:ascii="仿宋_GB2312" w:hAnsi="Calibri" w:eastAsia="仿宋_GB2312" w:cs="宋体"/>
          <w:kern w:val="0"/>
          <w:sz w:val="28"/>
          <w:szCs w:val="28"/>
        </w:rPr>
      </w:pPr>
      <w:r>
        <w:rPr>
          <w:rFonts w:hint="eastAsia" w:ascii="仿宋_GB2312" w:hAnsi="Calibri" w:eastAsia="仿宋_GB2312" w:cs="宋体"/>
          <w:kern w:val="0"/>
          <w:sz w:val="28"/>
          <w:szCs w:val="28"/>
        </w:rPr>
        <w:t>博士研究生在广泛调查研究、阅读文献资料、了解主攻方向的前沿成果和发展动态的基础上，在导师（组）指导下，提出学位论文选题。学位论文的选题应对学术发展、经济建设和社会进步有重要意义。博士研究生应就选题意义、前人相关成果、研究基础、研究现状与实验条件、拟采取的理论与方法等方面作学位论文开题报告，尽可能广泛地听取专家意见。</w:t>
      </w:r>
    </w:p>
    <w:p>
      <w:pPr>
        <w:autoSpaceDE w:val="0"/>
        <w:autoSpaceDN w:val="0"/>
        <w:adjustRightInd w:val="0"/>
        <w:spacing w:line="360" w:lineRule="auto"/>
        <w:ind w:firstLine="560" w:firstLineChars="200"/>
        <w:jc w:val="left"/>
        <w:rPr>
          <w:rFonts w:ascii="仿宋_GB2312" w:hAnsi="Calibri" w:eastAsia="仿宋_GB2312" w:cs="宋体"/>
          <w:kern w:val="0"/>
          <w:sz w:val="28"/>
          <w:szCs w:val="28"/>
        </w:rPr>
      </w:pPr>
      <w:r>
        <w:rPr>
          <w:rFonts w:hint="eastAsia" w:ascii="仿宋_GB2312" w:hAnsi="Calibri" w:eastAsia="仿宋_GB2312" w:cs="宋体"/>
          <w:kern w:val="0"/>
          <w:sz w:val="28"/>
          <w:szCs w:val="28"/>
        </w:rPr>
        <w:t>博士研究生应在规定的时间内，就选题的背景意义、国内外研究动态及发展趋势、主要研究内容、拟采取的技术路线及研究方法、预期成果、论文工作时间安排等方面，撰写《中国科学院大学研究生学位论文开题报告》和《中国科学院大学研究生学位论文开题报告登记表》。导师（组）应对开题报告严格审核把关，经导师（组）同意后，方可进行开题报告。除保密论文外，开题报告应公开进行。</w:t>
      </w:r>
    </w:p>
    <w:p>
      <w:pPr>
        <w:autoSpaceDE w:val="0"/>
        <w:autoSpaceDN w:val="0"/>
        <w:adjustRightInd w:val="0"/>
        <w:spacing w:line="360" w:lineRule="auto"/>
        <w:ind w:firstLine="560" w:firstLineChars="200"/>
        <w:jc w:val="left"/>
        <w:rPr>
          <w:rFonts w:ascii="仿宋_GB2312" w:hAnsi="Calibri" w:eastAsia="仿宋_GB2312" w:cs="宋体"/>
          <w:kern w:val="0"/>
          <w:sz w:val="28"/>
          <w:szCs w:val="28"/>
        </w:rPr>
      </w:pPr>
      <w:r>
        <w:rPr>
          <w:rFonts w:hint="eastAsia" w:ascii="仿宋_GB2312" w:hAnsi="Calibri" w:eastAsia="仿宋_GB2312" w:cs="宋体"/>
          <w:kern w:val="0"/>
          <w:sz w:val="28"/>
          <w:szCs w:val="28"/>
        </w:rPr>
        <w:t>开题报告考核小组由不少于3位具有高级专业技术职称的研究人员组成，考核小组就论文选题、文献综述、研究内容、研究方法与技术路线、报告的表述和报告写作等几个方面进行评分，结果分为优秀、良好、合格、不合格。开题报告考核未通过的学生，需参加下一次开题报告考核。两次考核均未通过者，按照《中国科学院大学学生管理规定》处理。</w:t>
      </w:r>
    </w:p>
    <w:p>
      <w:pPr>
        <w:autoSpaceDE w:val="0"/>
        <w:autoSpaceDN w:val="0"/>
        <w:adjustRightInd w:val="0"/>
        <w:spacing w:line="360" w:lineRule="auto"/>
        <w:ind w:firstLine="560" w:firstLineChars="200"/>
        <w:jc w:val="left"/>
        <w:rPr>
          <w:rFonts w:ascii="仿宋_GB2312" w:hAnsi="Calibri" w:eastAsia="仿宋_GB2312" w:cs="宋体"/>
          <w:kern w:val="0"/>
          <w:sz w:val="28"/>
          <w:szCs w:val="28"/>
        </w:rPr>
      </w:pPr>
      <w:r>
        <w:rPr>
          <w:rFonts w:hint="eastAsia" w:ascii="仿宋_GB2312" w:hAnsi="Calibri" w:eastAsia="仿宋_GB2312" w:cs="宋体"/>
          <w:kern w:val="0"/>
          <w:sz w:val="28"/>
          <w:szCs w:val="28"/>
        </w:rPr>
        <w:t>博士研究生开题报告距离申请学位论文答辩的时间一般不少于一年半。</w:t>
      </w:r>
    </w:p>
    <w:p>
      <w:pPr>
        <w:autoSpaceDE w:val="0"/>
        <w:autoSpaceDN w:val="0"/>
        <w:adjustRightInd w:val="0"/>
        <w:spacing w:line="360" w:lineRule="auto"/>
        <w:ind w:firstLine="562" w:firstLineChars="200"/>
        <w:jc w:val="left"/>
        <w:rPr>
          <w:rFonts w:ascii="仿宋_GB2312" w:hAnsi="Calibri" w:eastAsia="仿宋_GB2312" w:cs="宋体"/>
          <w:b/>
          <w:kern w:val="0"/>
          <w:sz w:val="28"/>
          <w:szCs w:val="28"/>
        </w:rPr>
      </w:pPr>
      <w:r>
        <w:rPr>
          <w:rFonts w:hint="eastAsia" w:ascii="仿宋_GB2312" w:hAnsi="Calibri" w:eastAsia="仿宋_GB2312" w:cs="宋体"/>
          <w:b/>
          <w:kern w:val="0"/>
          <w:sz w:val="28"/>
          <w:szCs w:val="28"/>
        </w:rPr>
        <w:t>2．中期考核（2学分）</w:t>
      </w:r>
    </w:p>
    <w:p>
      <w:pPr>
        <w:autoSpaceDE w:val="0"/>
        <w:autoSpaceDN w:val="0"/>
        <w:adjustRightInd w:val="0"/>
        <w:spacing w:line="360" w:lineRule="auto"/>
        <w:ind w:firstLine="560" w:firstLineChars="200"/>
        <w:jc w:val="left"/>
        <w:rPr>
          <w:rFonts w:ascii="仿宋_GB2312" w:hAnsi="Calibri" w:eastAsia="仿宋_GB2312" w:cs="宋体"/>
          <w:kern w:val="0"/>
          <w:sz w:val="28"/>
          <w:szCs w:val="28"/>
        </w:rPr>
      </w:pPr>
      <w:r>
        <w:rPr>
          <w:rFonts w:hint="eastAsia" w:ascii="仿宋_GB2312" w:hAnsi="Calibri" w:eastAsia="仿宋_GB2312" w:cs="宋体"/>
          <w:kern w:val="0"/>
          <w:sz w:val="28"/>
          <w:szCs w:val="28"/>
        </w:rPr>
        <w:t>中期考核主要考核博士研究生在培养期间学位论文工作的进展情况、取得的阶段性成果、存在的主要问题、拟解决的途径、下一步工作计划及论文预计完成时间等。研究生需撰写《中国科学院大学研究生学位论文中期报告》和《中国科学院大学研究生学位论文中期考核登记表》，经导师（组）审核同意后，方可进行中期考核。除保密论文外，中期考核应公开进行。中期考核小组由不少于3名具有高级专业技术职称的研究人员组成。中期考核的结果有四类：优秀、良好、合格、不合格。中期考核通过者准予继续进行工作，不通过者须在半年内重新考核一次。第二次考核仍未通过者，按照《中国科学院大学学生管理规定》处理。</w:t>
      </w:r>
    </w:p>
    <w:p>
      <w:pPr>
        <w:autoSpaceDE w:val="0"/>
        <w:autoSpaceDN w:val="0"/>
        <w:adjustRightInd w:val="0"/>
        <w:spacing w:line="360" w:lineRule="auto"/>
        <w:ind w:firstLine="560" w:firstLineChars="200"/>
        <w:jc w:val="left"/>
        <w:rPr>
          <w:rFonts w:ascii="仿宋_GB2312" w:hAnsi="Calibri" w:eastAsia="仿宋_GB2312" w:cs="宋体"/>
          <w:kern w:val="0"/>
          <w:sz w:val="28"/>
          <w:szCs w:val="28"/>
        </w:rPr>
      </w:pPr>
      <w:r>
        <w:rPr>
          <w:rFonts w:hint="eastAsia" w:ascii="仿宋_GB2312" w:hAnsi="Calibri" w:eastAsia="仿宋_GB2312" w:cs="宋体"/>
          <w:kern w:val="0"/>
          <w:sz w:val="28"/>
          <w:szCs w:val="28"/>
        </w:rPr>
        <w:t>博士研究生中期考核距离申请学位论文答辩的时间一般不得少于半年。</w:t>
      </w:r>
    </w:p>
    <w:p>
      <w:pPr>
        <w:autoSpaceDE w:val="0"/>
        <w:autoSpaceDN w:val="0"/>
        <w:adjustRightInd w:val="0"/>
        <w:spacing w:line="360" w:lineRule="auto"/>
        <w:ind w:firstLine="562" w:firstLineChars="200"/>
        <w:jc w:val="left"/>
        <w:rPr>
          <w:rFonts w:ascii="仿宋_GB2312" w:hAnsi="Calibri" w:eastAsia="仿宋_GB2312" w:cs="宋体"/>
          <w:b/>
          <w:kern w:val="0"/>
          <w:sz w:val="28"/>
          <w:szCs w:val="28"/>
        </w:rPr>
      </w:pPr>
      <w:r>
        <w:rPr>
          <w:rFonts w:hint="eastAsia" w:ascii="仿宋_GB2312" w:hAnsi="Calibri" w:eastAsia="仿宋_GB2312" w:cs="宋体"/>
          <w:b/>
          <w:kern w:val="0"/>
          <w:sz w:val="28"/>
          <w:szCs w:val="28"/>
        </w:rPr>
        <w:t>3．学术报告和社会实践（2学分）</w:t>
      </w:r>
    </w:p>
    <w:p>
      <w:pPr>
        <w:autoSpaceDE w:val="0"/>
        <w:autoSpaceDN w:val="0"/>
        <w:adjustRightInd w:val="0"/>
        <w:spacing w:line="360" w:lineRule="auto"/>
        <w:ind w:firstLine="560" w:firstLineChars="200"/>
        <w:jc w:val="left"/>
        <w:rPr>
          <w:rFonts w:ascii="仿宋_GB2312" w:hAnsi="Calibri" w:eastAsia="仿宋_GB2312" w:cs="宋体"/>
          <w:kern w:val="0"/>
          <w:sz w:val="28"/>
          <w:szCs w:val="28"/>
        </w:rPr>
      </w:pPr>
      <w:r>
        <w:rPr>
          <w:rFonts w:hint="eastAsia" w:ascii="仿宋_GB2312" w:hAnsi="Calibri" w:eastAsia="仿宋_GB2312" w:cs="宋体"/>
          <w:kern w:val="0"/>
          <w:sz w:val="28"/>
          <w:szCs w:val="28"/>
        </w:rPr>
        <w:t>为了促使研究生主动关心和了解国内外学科前沿的发展动态，开阔视野，启发创造力，要求博士研究生应公开在所学专业的学术会议上做学术报告至少1次、参加学术报告至少5次，并参加一定数量的社会实践活动。</w:t>
      </w:r>
    </w:p>
    <w:p>
      <w:pPr>
        <w:pStyle w:val="2"/>
        <w:ind w:left="480"/>
      </w:pPr>
      <w:r>
        <w:rPr>
          <w:rFonts w:hint="eastAsia"/>
        </w:rPr>
        <w:t>八、学位论文与科研成果要求</w:t>
      </w:r>
    </w:p>
    <w:p>
      <w:pPr>
        <w:autoSpaceDE w:val="0"/>
        <w:autoSpaceDN w:val="0"/>
        <w:adjustRightInd w:val="0"/>
        <w:spacing w:line="360" w:lineRule="auto"/>
        <w:ind w:firstLine="560" w:firstLineChars="200"/>
        <w:jc w:val="left"/>
        <w:rPr>
          <w:rFonts w:ascii="仿宋_GB2312" w:eastAsia="仿宋_GB2312" w:cs="宋体"/>
          <w:color w:val="000000"/>
          <w:kern w:val="0"/>
          <w:sz w:val="28"/>
          <w:szCs w:val="28"/>
        </w:rPr>
      </w:pPr>
      <w:r>
        <w:rPr>
          <w:rFonts w:hint="eastAsia" w:ascii="仿宋_GB2312" w:eastAsia="仿宋_GB2312" w:cs="宋体"/>
          <w:color w:val="000000"/>
          <w:kern w:val="0"/>
          <w:sz w:val="28"/>
          <w:szCs w:val="28"/>
        </w:rPr>
        <w:t xml:space="preserve">博士学位论文研究工作是对学生进行科学研究或承担专门技术工作的全面训练，是培养学生创新能力的重要环节。申请研究生学位论文答辩前，研究生应在导师的指导下独立完成学位论文，不得造假，不得抄袭和剽窃他人成果。博士研究生学位论文工作时间一般不应少于二年。 </w:t>
      </w:r>
    </w:p>
    <w:p>
      <w:pPr>
        <w:autoSpaceDE w:val="0"/>
        <w:autoSpaceDN w:val="0"/>
        <w:adjustRightInd w:val="0"/>
        <w:spacing w:line="360" w:lineRule="auto"/>
        <w:ind w:firstLine="560" w:firstLineChars="200"/>
        <w:jc w:val="left"/>
        <w:rPr>
          <w:rFonts w:ascii="仿宋_GB2312" w:eastAsia="仿宋_GB2312" w:cs="宋体"/>
          <w:color w:val="000000"/>
          <w:kern w:val="0"/>
          <w:sz w:val="28"/>
          <w:szCs w:val="28"/>
        </w:rPr>
      </w:pPr>
      <w:r>
        <w:rPr>
          <w:rFonts w:hint="eastAsia" w:ascii="仿宋_GB2312" w:eastAsia="仿宋_GB2312" w:cs="宋体"/>
          <w:color w:val="000000"/>
          <w:kern w:val="0"/>
          <w:sz w:val="28"/>
          <w:szCs w:val="28"/>
        </w:rPr>
        <w:t>博士研究生的学位论文应是系统的、完整的学术论文，学位论文撰写应符合《中国科学院大学研究生学位论文撰写规范指导意见》（校发学字〔2022〕40号）。学位论文答辩的必要条件及程序按照《中国科学院大学学位授予工作细则》（校发学字〔2022〕121号）、《地质地球所关于研究生学位申请的管理规定》（质球所字[2022]51号）执行。 </w:t>
      </w:r>
    </w:p>
    <w:p>
      <w:pPr>
        <w:autoSpaceDE w:val="0"/>
        <w:autoSpaceDN w:val="0"/>
        <w:adjustRightInd w:val="0"/>
        <w:spacing w:line="360" w:lineRule="auto"/>
        <w:jc w:val="left"/>
        <w:rPr>
          <w:rFonts w:ascii="仿宋_GB2312" w:eastAsia="仿宋_GB2312" w:cs="宋体"/>
          <w:color w:val="000000"/>
          <w:kern w:val="0"/>
          <w:sz w:val="28"/>
          <w:szCs w:val="28"/>
        </w:rPr>
      </w:pPr>
    </w:p>
    <w:p>
      <w:pPr>
        <w:adjustRightInd w:val="0"/>
        <w:snapToGrid w:val="0"/>
        <w:spacing w:before="312" w:beforeLines="100" w:after="312" w:afterLines="100"/>
        <w:jc w:val="center"/>
        <w:rPr>
          <w:rFonts w:asciiTheme="minorEastAsia" w:hAnsiTheme="minorEastAsia"/>
          <w:color w:val="000000"/>
          <w:spacing w:val="10"/>
          <w:sz w:val="32"/>
          <w:szCs w:val="24"/>
        </w:rPr>
      </w:pPr>
      <w:r>
        <w:rPr>
          <w:rFonts w:hint="eastAsia" w:asciiTheme="minorEastAsia" w:hAnsiTheme="minorEastAsia"/>
          <w:b/>
          <w:spacing w:val="10"/>
          <w:sz w:val="32"/>
          <w:szCs w:val="24"/>
        </w:rPr>
        <w:t>第三部分 附则</w:t>
      </w:r>
    </w:p>
    <w:p>
      <w:pPr>
        <w:autoSpaceDE w:val="0"/>
        <w:autoSpaceDN w:val="0"/>
        <w:adjustRightInd w:val="0"/>
        <w:spacing w:line="360" w:lineRule="auto"/>
        <w:ind w:firstLine="560" w:firstLineChars="200"/>
        <w:jc w:val="left"/>
        <w:rPr>
          <w:rFonts w:ascii="仿宋_GB2312" w:eastAsia="仿宋_GB2312" w:cs="宋体"/>
          <w:color w:val="000000"/>
          <w:kern w:val="0"/>
          <w:sz w:val="28"/>
          <w:szCs w:val="28"/>
        </w:rPr>
      </w:pPr>
      <w:r>
        <w:rPr>
          <w:rFonts w:hint="eastAsia" w:ascii="仿宋_GB2312" w:eastAsia="仿宋_GB2312" w:cs="宋体"/>
          <w:color w:val="000000"/>
          <w:kern w:val="0"/>
          <w:sz w:val="28"/>
          <w:szCs w:val="28"/>
        </w:rPr>
        <w:t>本方案自发布之日起实施，所有权归所务会。</w:t>
      </w:r>
    </w:p>
    <w:p>
      <w:pPr>
        <w:autoSpaceDE w:val="0"/>
        <w:autoSpaceDN w:val="0"/>
        <w:adjustRightInd w:val="0"/>
        <w:spacing w:line="360" w:lineRule="auto"/>
        <w:ind w:firstLine="480" w:firstLineChars="200"/>
        <w:jc w:val="left"/>
        <w:rPr>
          <w:rFonts w:asciiTheme="minorEastAsia" w:hAnsiTheme="minorEastAsia"/>
          <w:color w:val="FF0000"/>
          <w:szCs w:val="24"/>
        </w:rPr>
      </w:pPr>
    </w:p>
    <w:sectPr>
      <w:footerReference r:id="rId5" w:type="default"/>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libri Light">
    <w:panose1 w:val="020F0302020204030204"/>
    <w:charset w:val="00"/>
    <w:family w:val="swiss"/>
    <w:pitch w:val="default"/>
    <w:sig w:usb0="E4002EFF" w:usb1="C200247B" w:usb2="00000009" w:usb3="00000000" w:csb0="200001F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386212509"/>
    </w:sdtPr>
    <w:sdtContent>
      <w:p>
        <w:pPr>
          <w:pStyle w:val="6"/>
          <w:jc w:val="center"/>
        </w:pPr>
        <w:r>
          <w:fldChar w:fldCharType="begin"/>
        </w:r>
        <w:r>
          <w:instrText xml:space="preserve">PAGE   \* MERGEFORMAT</w:instrText>
        </w:r>
        <w:r>
          <w:fldChar w:fldCharType="separate"/>
        </w:r>
        <w:r>
          <w:rPr>
            <w:lang w:val="zh-CN"/>
          </w:rPr>
          <w:t>13</w:t>
        </w:r>
        <w:r>
          <w:fldChar w:fldCharType="end"/>
        </w:r>
      </w:p>
    </w:sdtContent>
  </w:sdt>
  <w:p>
    <w:pPr>
      <w:pStyle w:val="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00" w:lineRule="auto"/>
      </w:pPr>
      <w:r>
        <w:separator/>
      </w:r>
    </w:p>
  </w:footnote>
  <w:footnote w:type="continuationSeparator" w:id="1">
    <w:p>
      <w:pPr>
        <w:spacing w:line="30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bordersDoNotSurroundHeader w:val="1"/>
  <w:bordersDoNotSurroundFooter w:val="1"/>
  <w:documentProtection w:enforcement="0"/>
  <w:defaultTabStop w:val="420"/>
  <w:drawingGridVerticalSpacing w:val="156"/>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mQ4ZGI4MDQ0Mjk3MjVjOGUzYjU4YmQzYWNiMGQ0MmEifQ=="/>
  </w:docVars>
  <w:rsids>
    <w:rsidRoot w:val="00AC3BCA"/>
    <w:rsid w:val="000019E6"/>
    <w:rsid w:val="00001AB6"/>
    <w:rsid w:val="00001E86"/>
    <w:rsid w:val="000024F3"/>
    <w:rsid w:val="00010CE7"/>
    <w:rsid w:val="00024FAE"/>
    <w:rsid w:val="00046394"/>
    <w:rsid w:val="00056AD2"/>
    <w:rsid w:val="00070CCC"/>
    <w:rsid w:val="00080774"/>
    <w:rsid w:val="0009046F"/>
    <w:rsid w:val="00091634"/>
    <w:rsid w:val="0009605E"/>
    <w:rsid w:val="000A3671"/>
    <w:rsid w:val="000A3E7D"/>
    <w:rsid w:val="000C16EF"/>
    <w:rsid w:val="000C284F"/>
    <w:rsid w:val="00103702"/>
    <w:rsid w:val="00126E1D"/>
    <w:rsid w:val="001348F3"/>
    <w:rsid w:val="001423B3"/>
    <w:rsid w:val="00186E65"/>
    <w:rsid w:val="00187D34"/>
    <w:rsid w:val="00195FAC"/>
    <w:rsid w:val="00196BCB"/>
    <w:rsid w:val="001A2629"/>
    <w:rsid w:val="001C6B33"/>
    <w:rsid w:val="001E688C"/>
    <w:rsid w:val="001F7513"/>
    <w:rsid w:val="00207AEB"/>
    <w:rsid w:val="00277603"/>
    <w:rsid w:val="0028231E"/>
    <w:rsid w:val="0029471E"/>
    <w:rsid w:val="00295C02"/>
    <w:rsid w:val="002C3C45"/>
    <w:rsid w:val="002E383E"/>
    <w:rsid w:val="00324079"/>
    <w:rsid w:val="00341325"/>
    <w:rsid w:val="00342478"/>
    <w:rsid w:val="003446BB"/>
    <w:rsid w:val="00345227"/>
    <w:rsid w:val="00347E8E"/>
    <w:rsid w:val="003539BC"/>
    <w:rsid w:val="003618E7"/>
    <w:rsid w:val="00363B20"/>
    <w:rsid w:val="00391691"/>
    <w:rsid w:val="003A4BD7"/>
    <w:rsid w:val="003D3051"/>
    <w:rsid w:val="003E12F0"/>
    <w:rsid w:val="003F0ED5"/>
    <w:rsid w:val="0041312F"/>
    <w:rsid w:val="0042742D"/>
    <w:rsid w:val="004424B0"/>
    <w:rsid w:val="0044415F"/>
    <w:rsid w:val="00463DCD"/>
    <w:rsid w:val="00473C0A"/>
    <w:rsid w:val="00475635"/>
    <w:rsid w:val="00491498"/>
    <w:rsid w:val="004923A4"/>
    <w:rsid w:val="0049386F"/>
    <w:rsid w:val="004A2464"/>
    <w:rsid w:val="004A6610"/>
    <w:rsid w:val="004B374E"/>
    <w:rsid w:val="004B4032"/>
    <w:rsid w:val="004E0ED2"/>
    <w:rsid w:val="00506025"/>
    <w:rsid w:val="005531B9"/>
    <w:rsid w:val="0056648C"/>
    <w:rsid w:val="00566D21"/>
    <w:rsid w:val="005716B8"/>
    <w:rsid w:val="0057176A"/>
    <w:rsid w:val="005720B0"/>
    <w:rsid w:val="00581EAC"/>
    <w:rsid w:val="005A2E58"/>
    <w:rsid w:val="005A3FC1"/>
    <w:rsid w:val="005A5B12"/>
    <w:rsid w:val="005B2D26"/>
    <w:rsid w:val="005B38DA"/>
    <w:rsid w:val="005C7BEA"/>
    <w:rsid w:val="005F3A2A"/>
    <w:rsid w:val="005F64F3"/>
    <w:rsid w:val="0060497B"/>
    <w:rsid w:val="00610155"/>
    <w:rsid w:val="00623FBF"/>
    <w:rsid w:val="00645D34"/>
    <w:rsid w:val="00650CA4"/>
    <w:rsid w:val="006624EF"/>
    <w:rsid w:val="006656EA"/>
    <w:rsid w:val="00667F8D"/>
    <w:rsid w:val="00670D90"/>
    <w:rsid w:val="00673DEF"/>
    <w:rsid w:val="006808AC"/>
    <w:rsid w:val="006875ED"/>
    <w:rsid w:val="006A6851"/>
    <w:rsid w:val="006B4C25"/>
    <w:rsid w:val="006D05E4"/>
    <w:rsid w:val="00702387"/>
    <w:rsid w:val="00703758"/>
    <w:rsid w:val="0071018F"/>
    <w:rsid w:val="00715A24"/>
    <w:rsid w:val="007340EF"/>
    <w:rsid w:val="0076182B"/>
    <w:rsid w:val="0076413F"/>
    <w:rsid w:val="00765A54"/>
    <w:rsid w:val="007901D8"/>
    <w:rsid w:val="007914DC"/>
    <w:rsid w:val="00793E1C"/>
    <w:rsid w:val="00796267"/>
    <w:rsid w:val="007A33EC"/>
    <w:rsid w:val="007B7C74"/>
    <w:rsid w:val="007C7D23"/>
    <w:rsid w:val="007E34E7"/>
    <w:rsid w:val="007E43BF"/>
    <w:rsid w:val="007F5D7B"/>
    <w:rsid w:val="008036A9"/>
    <w:rsid w:val="00804F82"/>
    <w:rsid w:val="00805AB4"/>
    <w:rsid w:val="008369E6"/>
    <w:rsid w:val="00873817"/>
    <w:rsid w:val="0089111E"/>
    <w:rsid w:val="008D75B8"/>
    <w:rsid w:val="00905595"/>
    <w:rsid w:val="00914E03"/>
    <w:rsid w:val="009233F4"/>
    <w:rsid w:val="00925666"/>
    <w:rsid w:val="00965CB8"/>
    <w:rsid w:val="00966ED9"/>
    <w:rsid w:val="00973C48"/>
    <w:rsid w:val="00973F65"/>
    <w:rsid w:val="00991505"/>
    <w:rsid w:val="00994BCA"/>
    <w:rsid w:val="0099575A"/>
    <w:rsid w:val="009C78AD"/>
    <w:rsid w:val="009D2277"/>
    <w:rsid w:val="00A34992"/>
    <w:rsid w:val="00A40D90"/>
    <w:rsid w:val="00A52BD7"/>
    <w:rsid w:val="00A651D5"/>
    <w:rsid w:val="00A66F5F"/>
    <w:rsid w:val="00A809BE"/>
    <w:rsid w:val="00A8383F"/>
    <w:rsid w:val="00A8485E"/>
    <w:rsid w:val="00AB6BAE"/>
    <w:rsid w:val="00AC3BCA"/>
    <w:rsid w:val="00AC48E3"/>
    <w:rsid w:val="00AD361C"/>
    <w:rsid w:val="00AD7393"/>
    <w:rsid w:val="00AF0C93"/>
    <w:rsid w:val="00AF5809"/>
    <w:rsid w:val="00AF5E87"/>
    <w:rsid w:val="00B02F0E"/>
    <w:rsid w:val="00B12C30"/>
    <w:rsid w:val="00B226AB"/>
    <w:rsid w:val="00B22DD4"/>
    <w:rsid w:val="00B249CE"/>
    <w:rsid w:val="00B66301"/>
    <w:rsid w:val="00B705B8"/>
    <w:rsid w:val="00B72DBE"/>
    <w:rsid w:val="00B74D64"/>
    <w:rsid w:val="00B84837"/>
    <w:rsid w:val="00BA1CBA"/>
    <w:rsid w:val="00BA3071"/>
    <w:rsid w:val="00BF5311"/>
    <w:rsid w:val="00BF638F"/>
    <w:rsid w:val="00BF76C9"/>
    <w:rsid w:val="00C00073"/>
    <w:rsid w:val="00C460F7"/>
    <w:rsid w:val="00C507C2"/>
    <w:rsid w:val="00C53876"/>
    <w:rsid w:val="00C73550"/>
    <w:rsid w:val="00C81269"/>
    <w:rsid w:val="00CA3195"/>
    <w:rsid w:val="00CA3D35"/>
    <w:rsid w:val="00CB4DEE"/>
    <w:rsid w:val="00CD062D"/>
    <w:rsid w:val="00CE3709"/>
    <w:rsid w:val="00D11B99"/>
    <w:rsid w:val="00D40A74"/>
    <w:rsid w:val="00D533E2"/>
    <w:rsid w:val="00D65E47"/>
    <w:rsid w:val="00D758AA"/>
    <w:rsid w:val="00D802F5"/>
    <w:rsid w:val="00D86749"/>
    <w:rsid w:val="00DA2E8D"/>
    <w:rsid w:val="00DA4E45"/>
    <w:rsid w:val="00DB026C"/>
    <w:rsid w:val="00DB7EE9"/>
    <w:rsid w:val="00DE1221"/>
    <w:rsid w:val="00DF6E09"/>
    <w:rsid w:val="00E002C6"/>
    <w:rsid w:val="00E05A59"/>
    <w:rsid w:val="00E56440"/>
    <w:rsid w:val="00E90499"/>
    <w:rsid w:val="00E94FAB"/>
    <w:rsid w:val="00EB2538"/>
    <w:rsid w:val="00EC451D"/>
    <w:rsid w:val="00EE4BA3"/>
    <w:rsid w:val="00EF31EB"/>
    <w:rsid w:val="00EF5953"/>
    <w:rsid w:val="00F13E17"/>
    <w:rsid w:val="00F179D8"/>
    <w:rsid w:val="00F43F10"/>
    <w:rsid w:val="00F46052"/>
    <w:rsid w:val="00F531CE"/>
    <w:rsid w:val="00F555A5"/>
    <w:rsid w:val="00F57BCC"/>
    <w:rsid w:val="00F60496"/>
    <w:rsid w:val="00F71E75"/>
    <w:rsid w:val="00F75FC3"/>
    <w:rsid w:val="00F844B8"/>
    <w:rsid w:val="00F950DE"/>
    <w:rsid w:val="00FB21C1"/>
    <w:rsid w:val="00FB3310"/>
    <w:rsid w:val="00FC68F0"/>
    <w:rsid w:val="00FD08B5"/>
    <w:rsid w:val="00FD25C8"/>
    <w:rsid w:val="00FD641E"/>
    <w:rsid w:val="00FE6B69"/>
    <w:rsid w:val="00FE7E8E"/>
    <w:rsid w:val="00FF690F"/>
    <w:rsid w:val="02AD5C6B"/>
    <w:rsid w:val="046924AD"/>
    <w:rsid w:val="0FB748D6"/>
    <w:rsid w:val="1FFD1D9A"/>
    <w:rsid w:val="28944E1F"/>
    <w:rsid w:val="451D06C0"/>
    <w:rsid w:val="51781744"/>
    <w:rsid w:val="6AF6782A"/>
    <w:rsid w:val="75E4683D"/>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300" w:lineRule="auto"/>
      <w:jc w:val="both"/>
    </w:pPr>
    <w:rPr>
      <w:rFonts w:asciiTheme="minorHAnsi" w:hAnsiTheme="minorHAnsi" w:eastAsiaTheme="minorEastAsia" w:cstheme="minorBidi"/>
      <w:kern w:val="2"/>
      <w:sz w:val="24"/>
      <w:szCs w:val="22"/>
      <w:lang w:val="en-US" w:eastAsia="zh-CN" w:bidi="ar-SA"/>
    </w:rPr>
  </w:style>
  <w:style w:type="paragraph" w:styleId="2">
    <w:name w:val="heading 2"/>
    <w:basedOn w:val="1"/>
    <w:next w:val="1"/>
    <w:link w:val="18"/>
    <w:unhideWhenUsed/>
    <w:qFormat/>
    <w:uiPriority w:val="9"/>
    <w:pPr>
      <w:keepNext/>
      <w:keepLines/>
      <w:spacing w:before="120" w:after="120"/>
      <w:ind w:left="200" w:leftChars="200"/>
      <w:outlineLvl w:val="1"/>
    </w:pPr>
    <w:rPr>
      <w:rFonts w:asciiTheme="majorHAnsi" w:hAnsiTheme="majorHAnsi" w:eastAsiaTheme="majorEastAsia" w:cstheme="majorBidi"/>
      <w:b/>
      <w:bCs/>
      <w:szCs w:val="32"/>
    </w:rPr>
  </w:style>
  <w:style w:type="paragraph" w:styleId="3">
    <w:name w:val="heading 3"/>
    <w:basedOn w:val="1"/>
    <w:next w:val="1"/>
    <w:link w:val="19"/>
    <w:unhideWhenUsed/>
    <w:qFormat/>
    <w:uiPriority w:val="9"/>
    <w:pPr>
      <w:keepNext/>
      <w:keepLines/>
      <w:ind w:left="200" w:leftChars="200"/>
      <w:outlineLvl w:val="2"/>
    </w:pPr>
    <w:rPr>
      <w:b/>
      <w:bCs/>
      <w:szCs w:val="32"/>
    </w:rPr>
  </w:style>
  <w:style w:type="character" w:default="1" w:styleId="11">
    <w:name w:val="Default Paragraph Font"/>
    <w:semiHidden/>
    <w:unhideWhenUsed/>
    <w:uiPriority w:val="1"/>
  </w:style>
  <w:style w:type="table" w:default="1" w:styleId="9">
    <w:name w:val="Normal Table"/>
    <w:semiHidden/>
    <w:unhideWhenUsed/>
    <w:uiPriority w:val="99"/>
    <w:tblPr>
      <w:tblCellMar>
        <w:top w:w="0" w:type="dxa"/>
        <w:left w:w="108" w:type="dxa"/>
        <w:bottom w:w="0" w:type="dxa"/>
        <w:right w:w="108" w:type="dxa"/>
      </w:tblCellMar>
    </w:tblPr>
  </w:style>
  <w:style w:type="paragraph" w:styleId="4">
    <w:name w:val="annotation text"/>
    <w:basedOn w:val="1"/>
    <w:semiHidden/>
    <w:unhideWhenUsed/>
    <w:qFormat/>
    <w:uiPriority w:val="99"/>
    <w:pPr>
      <w:jc w:val="left"/>
    </w:pPr>
  </w:style>
  <w:style w:type="paragraph" w:styleId="5">
    <w:name w:val="Balloon Text"/>
    <w:basedOn w:val="1"/>
    <w:link w:val="20"/>
    <w:semiHidden/>
    <w:unhideWhenUsed/>
    <w:qFormat/>
    <w:uiPriority w:val="99"/>
    <w:pPr>
      <w:spacing w:line="240" w:lineRule="auto"/>
    </w:pPr>
    <w:rPr>
      <w:sz w:val="18"/>
      <w:szCs w:val="18"/>
    </w:rPr>
  </w:style>
  <w:style w:type="paragraph" w:styleId="6">
    <w:name w:val="footer"/>
    <w:basedOn w:val="1"/>
    <w:link w:val="15"/>
    <w:unhideWhenUsed/>
    <w:qFormat/>
    <w:uiPriority w:val="99"/>
    <w:pPr>
      <w:tabs>
        <w:tab w:val="center" w:pos="4153"/>
        <w:tab w:val="right" w:pos="8306"/>
      </w:tabs>
      <w:snapToGrid w:val="0"/>
      <w:jc w:val="left"/>
    </w:pPr>
    <w:rPr>
      <w:sz w:val="18"/>
      <w:szCs w:val="18"/>
    </w:rPr>
  </w:style>
  <w:style w:type="paragraph" w:styleId="7">
    <w:name w:val="header"/>
    <w:basedOn w:val="1"/>
    <w:link w:val="14"/>
    <w:unhideWhenUsed/>
    <w:qFormat/>
    <w:uiPriority w:val="99"/>
    <w:pPr>
      <w:pBdr>
        <w:bottom w:val="single" w:color="auto" w:sz="6" w:space="1"/>
      </w:pBdr>
      <w:tabs>
        <w:tab w:val="center" w:pos="4153"/>
        <w:tab w:val="right" w:pos="8306"/>
      </w:tabs>
      <w:snapToGrid w:val="0"/>
      <w:jc w:val="center"/>
    </w:pPr>
    <w:rPr>
      <w:sz w:val="18"/>
      <w:szCs w:val="18"/>
    </w:rPr>
  </w:style>
  <w:style w:type="paragraph" w:styleId="8">
    <w:name w:val="Normal (Web)"/>
    <w:basedOn w:val="1"/>
    <w:unhideWhenUsed/>
    <w:qFormat/>
    <w:uiPriority w:val="99"/>
    <w:pPr>
      <w:spacing w:beforeAutospacing="1" w:afterAutospacing="1"/>
      <w:jc w:val="left"/>
    </w:pPr>
    <w:rPr>
      <w:rFonts w:cs="Times New Roman"/>
      <w:kern w:val="0"/>
    </w:rPr>
  </w:style>
  <w:style w:type="table" w:styleId="10">
    <w:name w:val="Table Grid"/>
    <w:basedOn w:val="9"/>
    <w:qFormat/>
    <w:uiPriority w:val="3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character" w:styleId="12">
    <w:name w:val="annotation reference"/>
    <w:basedOn w:val="11"/>
    <w:semiHidden/>
    <w:unhideWhenUsed/>
    <w:qFormat/>
    <w:uiPriority w:val="99"/>
    <w:rPr>
      <w:sz w:val="21"/>
      <w:szCs w:val="21"/>
    </w:rPr>
  </w:style>
  <w:style w:type="paragraph" w:customStyle="1" w:styleId="13">
    <w:name w:val="Default"/>
    <w:qFormat/>
    <w:uiPriority w:val="0"/>
    <w:pPr>
      <w:widowControl w:val="0"/>
      <w:autoSpaceDE w:val="0"/>
      <w:autoSpaceDN w:val="0"/>
      <w:adjustRightInd w:val="0"/>
    </w:pPr>
    <w:rPr>
      <w:rFonts w:ascii="宋体" w:eastAsia="宋体" w:cs="宋体" w:hAnsiTheme="minorHAnsi"/>
      <w:color w:val="000000"/>
      <w:sz w:val="24"/>
      <w:szCs w:val="24"/>
      <w:lang w:val="en-US" w:eastAsia="zh-CN" w:bidi="ar-SA"/>
    </w:rPr>
  </w:style>
  <w:style w:type="character" w:customStyle="1" w:styleId="14">
    <w:name w:val="页眉 Char"/>
    <w:basedOn w:val="11"/>
    <w:link w:val="7"/>
    <w:qFormat/>
    <w:uiPriority w:val="99"/>
    <w:rPr>
      <w:sz w:val="18"/>
      <w:szCs w:val="18"/>
    </w:rPr>
  </w:style>
  <w:style w:type="character" w:customStyle="1" w:styleId="15">
    <w:name w:val="页脚 Char"/>
    <w:basedOn w:val="11"/>
    <w:link w:val="6"/>
    <w:qFormat/>
    <w:uiPriority w:val="99"/>
    <w:rPr>
      <w:sz w:val="18"/>
      <w:szCs w:val="18"/>
    </w:rPr>
  </w:style>
  <w:style w:type="paragraph" w:customStyle="1" w:styleId="16">
    <w:name w:val="m_正文"/>
    <w:basedOn w:val="1"/>
    <w:link w:val="17"/>
    <w:qFormat/>
    <w:uiPriority w:val="0"/>
    <w:pPr>
      <w:spacing w:line="360" w:lineRule="auto"/>
    </w:pPr>
    <w:rPr>
      <w:rFonts w:ascii="Times New Roman" w:hAnsi="Times New Roman" w:eastAsia="宋体" w:cs="Times New Roman"/>
      <w:szCs w:val="24"/>
    </w:rPr>
  </w:style>
  <w:style w:type="character" w:customStyle="1" w:styleId="17">
    <w:name w:val="m_正文 Char"/>
    <w:basedOn w:val="11"/>
    <w:link w:val="16"/>
    <w:qFormat/>
    <w:uiPriority w:val="0"/>
    <w:rPr>
      <w:rFonts w:ascii="Times New Roman" w:hAnsi="Times New Roman" w:eastAsia="宋体" w:cs="Times New Roman"/>
      <w:sz w:val="24"/>
      <w:szCs w:val="24"/>
    </w:rPr>
  </w:style>
  <w:style w:type="character" w:customStyle="1" w:styleId="18">
    <w:name w:val="标题 2 Char"/>
    <w:basedOn w:val="11"/>
    <w:link w:val="2"/>
    <w:qFormat/>
    <w:uiPriority w:val="9"/>
    <w:rPr>
      <w:rFonts w:asciiTheme="majorHAnsi" w:hAnsiTheme="majorHAnsi" w:eastAsiaTheme="majorEastAsia" w:cstheme="majorBidi"/>
      <w:b/>
      <w:bCs/>
      <w:sz w:val="24"/>
      <w:szCs w:val="32"/>
    </w:rPr>
  </w:style>
  <w:style w:type="character" w:customStyle="1" w:styleId="19">
    <w:name w:val="标题 3 Char"/>
    <w:basedOn w:val="11"/>
    <w:link w:val="3"/>
    <w:qFormat/>
    <w:uiPriority w:val="9"/>
    <w:rPr>
      <w:b/>
      <w:bCs/>
      <w:sz w:val="24"/>
      <w:szCs w:val="32"/>
    </w:rPr>
  </w:style>
  <w:style w:type="character" w:customStyle="1" w:styleId="20">
    <w:name w:val="批注框文本 Char"/>
    <w:basedOn w:val="11"/>
    <w:link w:val="5"/>
    <w:semiHidden/>
    <w:qFormat/>
    <w:uiPriority w:val="99"/>
    <w:rPr>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43D1FF7-8FD3-4553-AC8F-4A49C784219D}">
  <ds:schemaRefs/>
</ds:datastoreItem>
</file>

<file path=docProps/app.xml><?xml version="1.0" encoding="utf-8"?>
<Properties xmlns="http://schemas.openxmlformats.org/officeDocument/2006/extended-properties" xmlns:vt="http://schemas.openxmlformats.org/officeDocument/2006/docPropsVTypes">
  <Template>Normal.dotm</Template>
  <Company>Lenovo</Company>
  <Pages>14</Pages>
  <Words>989</Words>
  <Characters>5638</Characters>
  <Lines>46</Lines>
  <Paragraphs>13</Paragraphs>
  <TotalTime>14</TotalTime>
  <ScaleCrop>false</ScaleCrop>
  <LinksUpToDate>false</LinksUpToDate>
  <CharactersWithSpaces>6614</CharactersWithSpaces>
  <Application>WPS Office_12.1.0.15120_F1E327BC-269C-435d-A152-05C5408002CA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2022-09-27T08:14:00Z</dcterms:created>
  <dc:creator>黄莹</dc:creator>
  <cp:lastModifiedBy>LYF</cp:lastModifiedBy>
  <cp:lastPrinted>2021-12-13T09:33:00Z</cp:lastPrinted>
  <dcterms:modified xsi:type="dcterms:W3CDTF">2023-09-07T11:18:55Z</dcterms:modified>
  <cp:revision>56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2052-12.1.0.15120</vt:lpwstr>
  </property>
  <property fmtid="{D5CDD505-2E9C-101B-9397-08002B2CF9AE}" pid="3" name="ICV">
    <vt:lpwstr>5C6571BCCE3841029C49F483E0F58477_13</vt:lpwstr>
  </property>
</Properties>
</file>